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color w:val="auto"/>
          <w:kern w:val="0"/>
          <w:sz w:val="36"/>
          <w:szCs w:val="36"/>
        </w:rPr>
      </w:pPr>
      <w:r>
        <w:rPr>
          <w:rFonts w:hint="eastAsia" w:ascii="黑体" w:hAnsi="黑体" w:eastAsia="黑体" w:cs="宋体"/>
          <w:b/>
          <w:color w:val="auto"/>
          <w:kern w:val="0"/>
          <w:sz w:val="36"/>
          <w:szCs w:val="36"/>
        </w:rPr>
        <w:t>新疆财政支出绩效自评报告编制要求</w:t>
      </w:r>
    </w:p>
    <w:p>
      <w:pPr>
        <w:adjustRightInd w:val="0"/>
        <w:snapToGrid w:val="0"/>
        <w:spacing w:line="560" w:lineRule="exact"/>
        <w:ind w:firstLine="624" w:firstLineChars="200"/>
        <w:outlineLvl w:val="0"/>
        <w:rPr>
          <w:rStyle w:val="19"/>
          <w:rFonts w:ascii="黑体" w:hAnsi="黑体" w:eastAsia="黑体"/>
          <w:b w:val="0"/>
          <w:color w:val="auto"/>
          <w:spacing w:val="-4"/>
          <w:sz w:val="32"/>
          <w:szCs w:val="32"/>
        </w:rPr>
      </w:pPr>
      <w:r>
        <w:rPr>
          <w:rStyle w:val="19"/>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9"/>
          <w:rFonts w:ascii="楷体" w:hAnsi="楷体" w:eastAsia="楷体"/>
          <w:color w:val="auto"/>
          <w:spacing w:val="-4"/>
          <w:sz w:val="32"/>
          <w:szCs w:val="32"/>
        </w:rPr>
      </w:pPr>
      <w:r>
        <w:rPr>
          <w:rStyle w:val="19"/>
          <w:rFonts w:hint="eastAsia" w:ascii="楷体" w:hAnsi="楷体" w:eastAsia="楷体"/>
          <w:color w:val="auto"/>
          <w:spacing w:val="-4"/>
          <w:sz w:val="32"/>
          <w:szCs w:val="32"/>
        </w:rPr>
        <w:t>（一）项目单位基本情况</w:t>
      </w:r>
    </w:p>
    <w:p>
      <w:pPr>
        <w:pStyle w:val="1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leftChars="0" w:right="0" w:rightChars="0" w:firstLine="624" w:firstLineChars="200"/>
        <w:jc w:val="both"/>
        <w:textAlignment w:val="auto"/>
        <w:outlineLvl w:val="9"/>
        <w:rPr>
          <w:rStyle w:val="19"/>
          <w:rFonts w:ascii="仿宋" w:hAnsi="仿宋" w:eastAsia="仿宋"/>
          <w:b w:val="0"/>
          <w:color w:val="auto"/>
          <w:spacing w:val="-4"/>
          <w:sz w:val="32"/>
          <w:szCs w:val="32"/>
        </w:rPr>
      </w:pPr>
      <w:r>
        <w:rPr>
          <w:rStyle w:val="19"/>
          <w:rFonts w:hint="eastAsia" w:ascii="仿宋" w:hAnsi="仿宋" w:eastAsia="仿宋"/>
          <w:b w:val="0"/>
          <w:color w:val="auto"/>
          <w:spacing w:val="-4"/>
          <w:sz w:val="32"/>
          <w:szCs w:val="32"/>
          <w:lang w:eastAsia="zh-CN"/>
        </w:rPr>
        <w:t>英吉沙县财政局</w:t>
      </w:r>
      <w:r>
        <w:rPr>
          <w:rStyle w:val="19"/>
          <w:rFonts w:hint="eastAsia" w:ascii="仿宋" w:hAnsi="仿宋" w:eastAsia="仿宋"/>
          <w:b w:val="0"/>
          <w:color w:val="auto"/>
          <w:spacing w:val="-4"/>
          <w:sz w:val="32"/>
          <w:szCs w:val="32"/>
          <w:lang w:val="en-US" w:eastAsia="zh-CN"/>
        </w:rPr>
        <w:t>2018年财政供养人员84人，其中：在职人员62人、退休15人，退职1人，遗补6人。现</w:t>
      </w:r>
      <w:r>
        <w:rPr>
          <w:rFonts w:hint="eastAsia" w:ascii="方正仿宋_GBK" w:hAnsi="方正仿宋_GBK" w:eastAsia="方正仿宋_GBK" w:cs="方正仿宋_GBK"/>
          <w:color w:val="auto"/>
          <w:sz w:val="32"/>
          <w:szCs w:val="32"/>
          <w:lang w:val="en-US" w:eastAsia="zh-CN"/>
        </w:rPr>
        <w:t>有股室18个，主要是行政办、预算股、国库股、国库集中支付中心、工资办、乡财股、乡财核算中心、金财办、文行股、社保股、经建股、采购办、企财股（含会计和监察）、农财股、农综股、涉外扶贫股。</w:t>
      </w:r>
      <w:r>
        <w:rPr>
          <w:rStyle w:val="19"/>
          <w:rFonts w:hint="eastAsia" w:ascii="仿宋" w:hAnsi="仿宋" w:eastAsia="仿宋"/>
          <w:b w:val="0"/>
          <w:color w:val="auto"/>
          <w:spacing w:val="-4"/>
          <w:sz w:val="32"/>
          <w:szCs w:val="32"/>
          <w:lang w:val="en-US" w:eastAsia="zh-CN"/>
        </w:rPr>
        <w:t>主要职能是</w:t>
      </w:r>
      <w:r>
        <w:rPr>
          <w:rFonts w:hint="eastAsia" w:ascii="仿宋" w:hAnsi="仿宋" w:eastAsia="仿宋" w:cs="仿宋"/>
          <w:color w:val="auto"/>
          <w:sz w:val="32"/>
          <w:szCs w:val="32"/>
        </w:rPr>
        <w:t>贯彻执行国家财政、税收、行政事业单位国有资产管理法规、制度和方针政策。承担</w:t>
      </w:r>
      <w:r>
        <w:rPr>
          <w:rFonts w:hint="eastAsia" w:ascii="仿宋" w:hAnsi="仿宋" w:eastAsia="仿宋" w:cs="仿宋"/>
          <w:color w:val="auto"/>
          <w:sz w:val="32"/>
          <w:szCs w:val="32"/>
          <w:lang w:eastAsia="zh-CN"/>
        </w:rPr>
        <w:t>全县</w:t>
      </w:r>
      <w:r>
        <w:rPr>
          <w:rFonts w:hint="eastAsia" w:ascii="仿宋" w:hAnsi="仿宋" w:eastAsia="仿宋" w:cs="仿宋"/>
          <w:color w:val="auto"/>
          <w:sz w:val="32"/>
          <w:szCs w:val="32"/>
        </w:rPr>
        <w:t>各项财政收支管理责任；负责编制本级预决算草案并组织执行；受</w:t>
      </w:r>
      <w:r>
        <w:rPr>
          <w:rFonts w:hint="eastAsia" w:ascii="仿宋" w:hAnsi="仿宋" w:eastAsia="仿宋" w:cs="仿宋"/>
          <w:color w:val="auto"/>
          <w:sz w:val="32"/>
          <w:szCs w:val="32"/>
          <w:lang w:eastAsia="zh-CN"/>
        </w:rPr>
        <w:t>县</w:t>
      </w:r>
      <w:r>
        <w:rPr>
          <w:rFonts w:hint="eastAsia" w:ascii="仿宋" w:hAnsi="仿宋" w:eastAsia="仿宋" w:cs="仿宋"/>
          <w:color w:val="auto"/>
          <w:sz w:val="32"/>
          <w:szCs w:val="32"/>
        </w:rPr>
        <w:t>人民政府委托向</w:t>
      </w:r>
      <w:r>
        <w:rPr>
          <w:rFonts w:hint="eastAsia" w:ascii="仿宋" w:hAnsi="仿宋" w:eastAsia="仿宋" w:cs="仿宋"/>
          <w:color w:val="auto"/>
          <w:sz w:val="32"/>
          <w:szCs w:val="32"/>
          <w:lang w:eastAsia="zh-CN"/>
        </w:rPr>
        <w:t>县</w:t>
      </w:r>
      <w:r>
        <w:rPr>
          <w:rFonts w:hint="eastAsia" w:ascii="仿宋" w:hAnsi="仿宋" w:eastAsia="仿宋" w:cs="仿宋"/>
          <w:color w:val="auto"/>
          <w:sz w:val="32"/>
          <w:szCs w:val="32"/>
        </w:rPr>
        <w:t>人民代表大会报告</w:t>
      </w:r>
      <w:r>
        <w:rPr>
          <w:rFonts w:hint="eastAsia" w:ascii="仿宋" w:hAnsi="仿宋" w:eastAsia="仿宋" w:cs="仿宋"/>
          <w:color w:val="auto"/>
          <w:sz w:val="32"/>
          <w:szCs w:val="32"/>
          <w:lang w:eastAsia="zh-CN"/>
        </w:rPr>
        <w:t>全县</w:t>
      </w:r>
      <w:r>
        <w:rPr>
          <w:rFonts w:hint="eastAsia" w:ascii="仿宋" w:hAnsi="仿宋" w:eastAsia="仿宋" w:cs="仿宋"/>
          <w:color w:val="auto"/>
          <w:sz w:val="32"/>
          <w:szCs w:val="32"/>
        </w:rPr>
        <w:t>预算及其执行情况，向</w:t>
      </w:r>
      <w:r>
        <w:rPr>
          <w:rFonts w:hint="eastAsia" w:ascii="仿宋" w:hAnsi="仿宋" w:eastAsia="仿宋" w:cs="仿宋"/>
          <w:color w:val="auto"/>
          <w:sz w:val="32"/>
          <w:szCs w:val="32"/>
          <w:lang w:eastAsia="zh-CN"/>
        </w:rPr>
        <w:t>县</w:t>
      </w:r>
      <w:r>
        <w:rPr>
          <w:rFonts w:hint="eastAsia" w:ascii="仿宋" w:hAnsi="仿宋" w:eastAsia="仿宋" w:cs="仿宋"/>
          <w:color w:val="auto"/>
          <w:sz w:val="32"/>
          <w:szCs w:val="32"/>
        </w:rPr>
        <w:t>人大常委会报告决算；组织实施专项资金绩效考核工作；组织制定经费开支标准、定额，负责财政预决算</w:t>
      </w:r>
      <w:r>
        <w:rPr>
          <w:rFonts w:hint="eastAsia" w:ascii="仿宋" w:hAnsi="仿宋" w:eastAsia="仿宋" w:cs="仿宋"/>
          <w:color w:val="auto"/>
          <w:sz w:val="32"/>
          <w:szCs w:val="32"/>
          <w:lang w:eastAsia="zh-CN"/>
        </w:rPr>
        <w:t>等</w:t>
      </w:r>
      <w:r>
        <w:rPr>
          <w:rFonts w:hint="eastAsia" w:ascii="仿宋" w:hAnsi="仿宋" w:eastAsia="仿宋" w:cs="仿宋"/>
          <w:color w:val="auto"/>
          <w:sz w:val="32"/>
          <w:szCs w:val="32"/>
        </w:rPr>
        <w:t>工作</w:t>
      </w:r>
      <w:r>
        <w:rPr>
          <w:rFonts w:hint="eastAsia" w:ascii="仿宋" w:hAnsi="仿宋" w:eastAsia="仿宋" w:cs="仿宋"/>
          <w:color w:val="auto"/>
          <w:sz w:val="32"/>
          <w:szCs w:val="32"/>
          <w:lang w:eastAsia="zh-CN"/>
        </w:rPr>
        <w:t>。</w:t>
      </w:r>
    </w:p>
    <w:p>
      <w:pPr>
        <w:adjustRightInd w:val="0"/>
        <w:snapToGrid w:val="0"/>
        <w:spacing w:line="560" w:lineRule="exact"/>
        <w:ind w:firstLine="627" w:firstLineChars="200"/>
        <w:rPr>
          <w:rStyle w:val="19"/>
          <w:rFonts w:ascii="楷体" w:hAnsi="楷体" w:eastAsia="楷体"/>
          <w:color w:val="auto"/>
          <w:spacing w:val="-4"/>
          <w:sz w:val="32"/>
          <w:szCs w:val="32"/>
        </w:rPr>
      </w:pPr>
      <w:r>
        <w:rPr>
          <w:rStyle w:val="19"/>
          <w:rFonts w:hint="eastAsia" w:ascii="楷体" w:hAnsi="楷体" w:eastAsia="楷体"/>
          <w:color w:val="auto"/>
          <w:spacing w:val="-4"/>
          <w:sz w:val="32"/>
          <w:szCs w:val="32"/>
        </w:rPr>
        <w:t>（二）项目预算</w:t>
      </w:r>
      <w:r>
        <w:rPr>
          <w:rStyle w:val="19"/>
          <w:rFonts w:ascii="楷体" w:hAnsi="楷体" w:eastAsia="楷体"/>
          <w:color w:val="auto"/>
          <w:spacing w:val="-4"/>
          <w:sz w:val="32"/>
          <w:szCs w:val="32"/>
        </w:rPr>
        <w:t>绩效目标</w:t>
      </w:r>
      <w:r>
        <w:rPr>
          <w:rStyle w:val="19"/>
          <w:rFonts w:hint="eastAsia" w:ascii="楷体" w:hAnsi="楷体" w:eastAsia="楷体"/>
          <w:color w:val="auto"/>
          <w:spacing w:val="-4"/>
          <w:sz w:val="32"/>
          <w:szCs w:val="32"/>
        </w:rPr>
        <w:t>设定情况</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1、项目预期目标及阶段性目标</w:t>
      </w:r>
    </w:p>
    <w:p>
      <w:pPr>
        <w:adjustRightInd w:val="0"/>
        <w:snapToGrid w:val="0"/>
        <w:spacing w:line="560" w:lineRule="exact"/>
        <w:ind w:firstLine="640" w:firstLineChars="200"/>
        <w:rPr>
          <w:rFonts w:hint="eastAsia" w:ascii="仿宋_GB2312" w:eastAsia="仿宋_GB2312"/>
          <w:color w:val="auto"/>
          <w:sz w:val="32"/>
          <w:szCs w:val="32"/>
          <w:lang w:eastAsia="zh-CN"/>
        </w:rPr>
      </w:pPr>
      <w:r>
        <w:rPr>
          <w:rFonts w:hint="eastAsia" w:ascii="仿宋" w:hAnsi="仿宋" w:eastAsia="仿宋"/>
          <w:color w:val="auto"/>
          <w:sz w:val="32"/>
          <w:szCs w:val="32"/>
        </w:rPr>
        <w:t>根据喀党办发【2017】71号文件《关于印发〈喀什地区实施乡镇会计委派制（实行）办法〉的通知》的有关规定，</w:t>
      </w:r>
      <w:r>
        <w:rPr>
          <w:rFonts w:hint="eastAsia" w:ascii="仿宋_GB2312" w:eastAsia="仿宋_GB2312"/>
          <w:color w:val="auto"/>
          <w:sz w:val="32"/>
          <w:szCs w:val="32"/>
        </w:rPr>
        <w:t>为进一步加强对乡镇财政财务管理和监督，严肃财经纪律，从制度上规范财政财务收支行为和领导干部履行经济责任行为</w:t>
      </w:r>
      <w:r>
        <w:rPr>
          <w:rFonts w:hint="eastAsia" w:ascii="仿宋_GB2312" w:eastAsia="仿宋_GB2312"/>
          <w:color w:val="auto"/>
          <w:sz w:val="32"/>
          <w:szCs w:val="32"/>
          <w:lang w:eastAsia="zh-CN"/>
        </w:rPr>
        <w:t>，</w:t>
      </w:r>
      <w:r>
        <w:rPr>
          <w:rFonts w:hint="eastAsia" w:ascii="仿宋_GB2312" w:eastAsia="仿宋_GB2312"/>
          <w:color w:val="auto"/>
          <w:sz w:val="32"/>
          <w:szCs w:val="32"/>
        </w:rPr>
        <w:t>促进财政健康、规范、有序发展</w:t>
      </w:r>
      <w:r>
        <w:rPr>
          <w:rFonts w:hint="eastAsia" w:ascii="仿宋_GB2312" w:eastAsia="仿宋_GB2312"/>
          <w:color w:val="auto"/>
          <w:sz w:val="32"/>
          <w:szCs w:val="32"/>
          <w:lang w:eastAsia="zh-CN"/>
        </w:rPr>
        <w:t>。</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2、项目基本性质</w:t>
      </w:r>
    </w:p>
    <w:p>
      <w:p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rPr>
        <w:t>本项目性质为新增项目</w:t>
      </w:r>
      <w:r>
        <w:rPr>
          <w:rFonts w:hint="eastAsia" w:ascii="仿宋" w:hAnsi="仿宋" w:eastAsia="仿宋"/>
          <w:bCs/>
          <w:color w:val="auto"/>
          <w:spacing w:val="-4"/>
          <w:sz w:val="32"/>
          <w:szCs w:val="32"/>
          <w:lang w:eastAsia="zh-CN"/>
        </w:rPr>
        <w:t>。</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3、项目用途及范围</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lang w:eastAsia="zh-CN"/>
        </w:rPr>
        <w:t>主要是为了进一步规范乡镇财务管理，提升依法理财，依法行政能力，切实提高乡镇财务管理工作水平，用于委派会计人员工作补贴</w:t>
      </w:r>
      <w:r>
        <w:rPr>
          <w:rFonts w:hint="eastAsia" w:ascii="仿宋" w:hAnsi="仿宋" w:eastAsia="仿宋"/>
          <w:bCs/>
          <w:color w:val="auto"/>
          <w:spacing w:val="-4"/>
          <w:sz w:val="32"/>
          <w:szCs w:val="32"/>
        </w:rPr>
        <w:t>。</w:t>
      </w:r>
    </w:p>
    <w:p>
      <w:pPr>
        <w:adjustRightInd w:val="0"/>
        <w:snapToGrid w:val="0"/>
        <w:spacing w:line="560" w:lineRule="exact"/>
        <w:ind w:firstLine="624" w:firstLineChars="200"/>
        <w:outlineLvl w:val="0"/>
        <w:rPr>
          <w:rStyle w:val="19"/>
          <w:rFonts w:ascii="黑体" w:hAnsi="黑体" w:eastAsia="黑体"/>
          <w:b w:val="0"/>
          <w:color w:val="auto"/>
          <w:spacing w:val="-4"/>
          <w:sz w:val="32"/>
          <w:szCs w:val="32"/>
        </w:rPr>
      </w:pPr>
      <w:r>
        <w:rPr>
          <w:rStyle w:val="19"/>
          <w:rFonts w:hint="eastAsia" w:ascii="黑体" w:hAnsi="黑体" w:eastAsia="黑体"/>
          <w:b w:val="0"/>
          <w:color w:val="auto"/>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color w:val="auto"/>
          <w:spacing w:val="-4"/>
          <w:sz w:val="32"/>
          <w:szCs w:val="32"/>
        </w:rPr>
      </w:pPr>
      <w:r>
        <w:rPr>
          <w:rStyle w:val="19"/>
          <w:rFonts w:hint="eastAsia" w:ascii="楷体" w:hAnsi="楷体" w:eastAsia="楷体"/>
          <w:color w:val="auto"/>
          <w:spacing w:val="-4"/>
          <w:sz w:val="32"/>
          <w:szCs w:val="32"/>
        </w:rPr>
        <w:t>（一）项目资金安排落实、总投入等情况分析</w:t>
      </w:r>
    </w:p>
    <w:p>
      <w:pPr>
        <w:adjustRightInd w:val="0"/>
        <w:snapToGrid w:val="0"/>
        <w:spacing w:line="560" w:lineRule="exact"/>
        <w:ind w:firstLine="640" w:firstLineChars="200"/>
        <w:rPr>
          <w:rFonts w:ascii="仿宋" w:hAnsi="仿宋" w:eastAsia="仿宋"/>
          <w:bCs/>
          <w:color w:val="auto"/>
          <w:spacing w:val="-4"/>
          <w:sz w:val="32"/>
          <w:szCs w:val="32"/>
        </w:rPr>
      </w:pPr>
      <w:r>
        <w:rPr>
          <w:rFonts w:hint="eastAsia" w:ascii="仿宋" w:hAnsi="仿宋" w:eastAsia="仿宋"/>
          <w:color w:val="auto"/>
          <w:sz w:val="32"/>
          <w:szCs w:val="32"/>
          <w:lang w:eastAsia="zh-CN"/>
        </w:rPr>
        <w:t>英吉沙县</w:t>
      </w:r>
      <w:r>
        <w:rPr>
          <w:rFonts w:hint="eastAsia" w:ascii="仿宋" w:hAnsi="仿宋" w:eastAsia="仿宋"/>
          <w:color w:val="auto"/>
          <w:sz w:val="32"/>
          <w:szCs w:val="32"/>
          <w:lang w:val="en-US" w:eastAsia="zh-CN"/>
        </w:rPr>
        <w:t>2018年</w:t>
      </w:r>
      <w:r>
        <w:rPr>
          <w:rFonts w:hint="eastAsia" w:ascii="仿宋" w:hAnsi="仿宋" w:eastAsia="仿宋"/>
          <w:color w:val="auto"/>
          <w:sz w:val="32"/>
          <w:szCs w:val="32"/>
        </w:rPr>
        <w:t>委派会计工作补贴</w:t>
      </w:r>
      <w:r>
        <w:rPr>
          <w:rFonts w:hint="eastAsia" w:ascii="仿宋" w:hAnsi="仿宋" w:eastAsia="仿宋"/>
          <w:bCs/>
          <w:color w:val="auto"/>
          <w:spacing w:val="-4"/>
          <w:sz w:val="32"/>
          <w:szCs w:val="32"/>
        </w:rPr>
        <w:t>项目预算安排总额为</w:t>
      </w:r>
      <w:r>
        <w:rPr>
          <w:rFonts w:hint="eastAsia" w:ascii="仿宋" w:hAnsi="仿宋" w:eastAsia="仿宋"/>
          <w:bCs/>
          <w:color w:val="auto"/>
          <w:spacing w:val="-4"/>
          <w:sz w:val="32"/>
          <w:szCs w:val="32"/>
          <w:lang w:val="en-US" w:eastAsia="zh-CN"/>
        </w:rPr>
        <w:t>63.48</w:t>
      </w:r>
      <w:r>
        <w:rPr>
          <w:rFonts w:hint="eastAsia" w:ascii="仿宋" w:hAnsi="仿宋" w:eastAsia="仿宋"/>
          <w:bCs/>
          <w:color w:val="auto"/>
          <w:spacing w:val="-4"/>
          <w:sz w:val="32"/>
          <w:szCs w:val="32"/>
        </w:rPr>
        <w:t>万元，其中财政资金</w:t>
      </w:r>
      <w:r>
        <w:rPr>
          <w:rFonts w:hint="eastAsia" w:ascii="仿宋" w:hAnsi="仿宋" w:eastAsia="仿宋"/>
          <w:bCs/>
          <w:color w:val="auto"/>
          <w:spacing w:val="-4"/>
          <w:sz w:val="32"/>
          <w:szCs w:val="32"/>
          <w:lang w:val="en-US" w:eastAsia="zh-CN"/>
        </w:rPr>
        <w:t>63.48</w:t>
      </w:r>
      <w:r>
        <w:rPr>
          <w:rFonts w:hint="eastAsia" w:ascii="仿宋" w:hAnsi="仿宋" w:eastAsia="仿宋"/>
          <w:bCs/>
          <w:color w:val="auto"/>
          <w:spacing w:val="-4"/>
          <w:sz w:val="32"/>
          <w:szCs w:val="32"/>
        </w:rPr>
        <w:t>万元，自筹资金</w:t>
      </w:r>
      <w:r>
        <w:rPr>
          <w:rFonts w:hint="eastAsia" w:ascii="仿宋" w:hAnsi="仿宋" w:eastAsia="仿宋"/>
          <w:bCs/>
          <w:color w:val="auto"/>
          <w:spacing w:val="-4"/>
          <w:sz w:val="32"/>
          <w:szCs w:val="32"/>
          <w:lang w:val="en-US" w:eastAsia="zh-CN"/>
        </w:rPr>
        <w:t>0</w:t>
      </w:r>
      <w:r>
        <w:rPr>
          <w:rFonts w:hint="eastAsia" w:ascii="仿宋" w:hAnsi="仿宋" w:eastAsia="仿宋"/>
          <w:bCs/>
          <w:color w:val="auto"/>
          <w:spacing w:val="-4"/>
          <w:sz w:val="32"/>
          <w:szCs w:val="32"/>
        </w:rPr>
        <w:t>万元，2018年实际收到预算资金</w:t>
      </w:r>
      <w:r>
        <w:rPr>
          <w:rFonts w:hint="eastAsia" w:ascii="仿宋" w:hAnsi="仿宋" w:eastAsia="仿宋"/>
          <w:bCs/>
          <w:color w:val="auto"/>
          <w:spacing w:val="-4"/>
          <w:sz w:val="32"/>
          <w:szCs w:val="32"/>
          <w:lang w:val="en-US" w:eastAsia="zh-CN"/>
        </w:rPr>
        <w:t>63.48</w:t>
      </w:r>
      <w:r>
        <w:rPr>
          <w:rFonts w:hint="eastAsia" w:ascii="仿宋" w:hAnsi="仿宋" w:eastAsia="仿宋"/>
          <w:bCs/>
          <w:color w:val="auto"/>
          <w:spacing w:val="-4"/>
          <w:sz w:val="32"/>
          <w:szCs w:val="32"/>
        </w:rPr>
        <w:t>万元。</w:t>
      </w:r>
    </w:p>
    <w:p>
      <w:pPr>
        <w:adjustRightInd w:val="0"/>
        <w:snapToGrid w:val="0"/>
        <w:spacing w:line="560" w:lineRule="exact"/>
        <w:ind w:firstLine="627" w:firstLineChars="200"/>
        <w:outlineLvl w:val="0"/>
        <w:rPr>
          <w:rStyle w:val="19"/>
          <w:rFonts w:ascii="楷体" w:hAnsi="楷体" w:eastAsia="楷体"/>
          <w:color w:val="auto"/>
          <w:spacing w:val="-4"/>
          <w:sz w:val="32"/>
          <w:szCs w:val="32"/>
        </w:rPr>
      </w:pPr>
      <w:r>
        <w:rPr>
          <w:rStyle w:val="19"/>
          <w:rFonts w:hint="eastAsia" w:ascii="楷体" w:hAnsi="楷体" w:eastAsia="楷体"/>
          <w:color w:val="auto"/>
          <w:spacing w:val="-4"/>
          <w:sz w:val="32"/>
          <w:szCs w:val="32"/>
        </w:rPr>
        <w:t>（二）项目资金实际使用情况分析</w:t>
      </w:r>
    </w:p>
    <w:p>
      <w:pPr>
        <w:adjustRightInd w:val="0"/>
        <w:snapToGrid w:val="0"/>
        <w:spacing w:line="560" w:lineRule="exact"/>
        <w:ind w:firstLine="624" w:firstLineChars="200"/>
        <w:rPr>
          <w:rStyle w:val="19"/>
          <w:rFonts w:ascii="仿宋" w:hAnsi="仿宋" w:eastAsia="仿宋"/>
          <w:b w:val="0"/>
          <w:color w:val="auto"/>
          <w:spacing w:val="-4"/>
          <w:sz w:val="32"/>
          <w:szCs w:val="32"/>
        </w:rPr>
      </w:pPr>
      <w:r>
        <w:rPr>
          <w:rFonts w:hint="eastAsia" w:ascii="仿宋" w:hAnsi="仿宋" w:eastAsia="仿宋"/>
          <w:bCs/>
          <w:color w:val="auto"/>
          <w:spacing w:val="-4"/>
          <w:sz w:val="32"/>
          <w:szCs w:val="32"/>
        </w:rPr>
        <w:t>主要分析项目资金使用明细情况，对各项支出进行明细说明。</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本项目实际支付资金</w:t>
      </w:r>
      <w:r>
        <w:rPr>
          <w:rFonts w:hint="eastAsia" w:ascii="仿宋" w:hAnsi="仿宋" w:eastAsia="仿宋"/>
          <w:bCs/>
          <w:color w:val="auto"/>
          <w:spacing w:val="-4"/>
          <w:sz w:val="32"/>
          <w:szCs w:val="32"/>
          <w:lang w:val="en-US" w:eastAsia="zh-CN"/>
        </w:rPr>
        <w:t>63.48</w:t>
      </w:r>
      <w:r>
        <w:rPr>
          <w:rFonts w:hint="eastAsia" w:ascii="仿宋" w:hAnsi="仿宋" w:eastAsia="仿宋"/>
          <w:bCs/>
          <w:color w:val="auto"/>
          <w:spacing w:val="-4"/>
          <w:sz w:val="32"/>
          <w:szCs w:val="32"/>
        </w:rPr>
        <w:t>万元，预算执行率</w:t>
      </w:r>
      <w:r>
        <w:rPr>
          <w:rFonts w:hint="eastAsia" w:ascii="仿宋" w:hAnsi="仿宋" w:eastAsia="仿宋"/>
          <w:bCs/>
          <w:color w:val="auto"/>
          <w:spacing w:val="-4"/>
          <w:sz w:val="32"/>
          <w:szCs w:val="32"/>
          <w:lang w:val="en-US" w:eastAsia="zh-CN"/>
        </w:rPr>
        <w:t>100</w:t>
      </w:r>
      <w:r>
        <w:rPr>
          <w:rFonts w:ascii="仿宋" w:hAnsi="仿宋" w:eastAsia="仿宋"/>
          <w:bCs/>
          <w:color w:val="auto"/>
          <w:spacing w:val="-4"/>
          <w:sz w:val="32"/>
          <w:szCs w:val="32"/>
        </w:rPr>
        <w:t>%</w:t>
      </w:r>
      <w:r>
        <w:rPr>
          <w:rFonts w:hint="eastAsia" w:ascii="仿宋" w:hAnsi="仿宋" w:eastAsia="仿宋"/>
          <w:bCs/>
          <w:color w:val="auto"/>
          <w:spacing w:val="-4"/>
          <w:sz w:val="32"/>
          <w:szCs w:val="32"/>
        </w:rPr>
        <w:t>（预算执行率=</w:t>
      </w:r>
      <w:r>
        <w:rPr>
          <w:rFonts w:ascii="仿宋" w:hAnsi="仿宋" w:eastAsia="仿宋"/>
          <w:bCs/>
          <w:color w:val="auto"/>
          <w:spacing w:val="-4"/>
          <w:sz w:val="32"/>
          <w:szCs w:val="32"/>
        </w:rPr>
        <w:t>[</w:t>
      </w:r>
      <w:r>
        <w:rPr>
          <w:rFonts w:hint="eastAsia" w:ascii="仿宋" w:hAnsi="仿宋" w:eastAsia="仿宋"/>
          <w:bCs/>
          <w:color w:val="auto"/>
          <w:spacing w:val="-4"/>
          <w:sz w:val="32"/>
          <w:szCs w:val="32"/>
        </w:rPr>
        <w:t>实际支出资金/预算批复金额]*100%，如项目预算执行率达不到100%，则说明结转资金额度和结余资金额度</w:t>
      </w:r>
      <w:r>
        <w:rPr>
          <w:rFonts w:ascii="仿宋" w:hAnsi="仿宋" w:eastAsia="仿宋"/>
          <w:bCs/>
          <w:color w:val="auto"/>
          <w:spacing w:val="-4"/>
          <w:sz w:val="32"/>
          <w:szCs w:val="32"/>
        </w:rPr>
        <w:t>）</w:t>
      </w:r>
      <w:r>
        <w:rPr>
          <w:rFonts w:hint="eastAsia" w:ascii="仿宋" w:hAnsi="仿宋" w:eastAsia="仿宋"/>
          <w:bCs/>
          <w:color w:val="auto"/>
          <w:spacing w:val="-4"/>
          <w:sz w:val="32"/>
          <w:szCs w:val="32"/>
        </w:rPr>
        <w:t>。项目资金主要用于支付</w:t>
      </w:r>
      <w:r>
        <w:rPr>
          <w:rFonts w:hint="eastAsia" w:ascii="仿宋" w:hAnsi="仿宋" w:eastAsia="仿宋"/>
          <w:color w:val="auto"/>
          <w:sz w:val="32"/>
          <w:szCs w:val="32"/>
        </w:rPr>
        <w:t>委派会计工作补贴</w:t>
      </w:r>
      <w:r>
        <w:rPr>
          <w:rFonts w:hint="eastAsia" w:ascii="仿宋" w:hAnsi="仿宋" w:eastAsia="仿宋"/>
          <w:bCs/>
          <w:color w:val="auto"/>
          <w:spacing w:val="-4"/>
          <w:sz w:val="32"/>
          <w:szCs w:val="32"/>
        </w:rPr>
        <w:t>费用</w:t>
      </w:r>
      <w:r>
        <w:rPr>
          <w:rFonts w:hint="eastAsia" w:ascii="仿宋" w:hAnsi="仿宋" w:eastAsia="仿宋"/>
          <w:bCs/>
          <w:color w:val="auto"/>
          <w:spacing w:val="-4"/>
          <w:sz w:val="32"/>
          <w:szCs w:val="32"/>
          <w:lang w:val="en-US" w:eastAsia="zh-CN"/>
        </w:rPr>
        <w:t>63.48</w:t>
      </w:r>
      <w:r>
        <w:rPr>
          <w:rFonts w:hint="eastAsia" w:ascii="仿宋" w:hAnsi="仿宋" w:eastAsia="仿宋"/>
          <w:bCs/>
          <w:color w:val="auto"/>
          <w:spacing w:val="-4"/>
          <w:sz w:val="32"/>
          <w:szCs w:val="32"/>
        </w:rPr>
        <w:t>万元。</w:t>
      </w:r>
    </w:p>
    <w:p>
      <w:pPr>
        <w:adjustRightInd w:val="0"/>
        <w:snapToGrid w:val="0"/>
        <w:spacing w:line="560" w:lineRule="exact"/>
        <w:ind w:firstLine="627" w:firstLineChars="200"/>
        <w:outlineLvl w:val="0"/>
        <w:rPr>
          <w:rStyle w:val="19"/>
          <w:rFonts w:ascii="楷体" w:hAnsi="楷体" w:eastAsia="楷体"/>
          <w:color w:val="auto"/>
          <w:spacing w:val="-4"/>
          <w:sz w:val="32"/>
          <w:szCs w:val="32"/>
        </w:rPr>
      </w:pPr>
      <w:r>
        <w:rPr>
          <w:rStyle w:val="19"/>
          <w:rFonts w:hint="eastAsia" w:ascii="楷体" w:hAnsi="楷体" w:eastAsia="楷体"/>
          <w:color w:val="auto"/>
          <w:spacing w:val="-4"/>
          <w:sz w:val="32"/>
          <w:szCs w:val="32"/>
        </w:rPr>
        <w:t>（三）项目资金管理情况分析</w:t>
      </w:r>
    </w:p>
    <w:p>
      <w:p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lang w:eastAsia="zh-CN"/>
        </w:rPr>
        <w:t>为保证</w:t>
      </w:r>
      <w:r>
        <w:rPr>
          <w:rFonts w:hint="eastAsia" w:ascii="仿宋" w:hAnsi="仿宋" w:eastAsia="仿宋"/>
          <w:color w:val="auto"/>
          <w:sz w:val="32"/>
          <w:szCs w:val="32"/>
        </w:rPr>
        <w:t>委派会计工作补贴</w:t>
      </w:r>
      <w:r>
        <w:rPr>
          <w:rFonts w:hint="eastAsia" w:ascii="仿宋" w:hAnsi="仿宋" w:eastAsia="仿宋"/>
          <w:bCs/>
          <w:color w:val="auto"/>
          <w:spacing w:val="-4"/>
          <w:sz w:val="32"/>
          <w:szCs w:val="32"/>
          <w:lang w:eastAsia="zh-CN"/>
        </w:rPr>
        <w:t>支出管理规范，英吉沙县财政局制定完善了各项财务管理制度和办法，</w:t>
      </w:r>
      <w:r>
        <w:rPr>
          <w:rFonts w:hint="eastAsia" w:ascii="仿宋" w:hAnsi="仿宋" w:eastAsia="仿宋"/>
          <w:color w:val="auto"/>
          <w:sz w:val="32"/>
          <w:szCs w:val="32"/>
        </w:rPr>
        <w:t>委派会计工作补贴</w:t>
      </w:r>
      <w:r>
        <w:rPr>
          <w:rFonts w:hint="eastAsia" w:ascii="仿宋" w:hAnsi="仿宋" w:eastAsia="仿宋"/>
          <w:bCs/>
          <w:color w:val="auto"/>
          <w:spacing w:val="-4"/>
          <w:sz w:val="32"/>
          <w:szCs w:val="32"/>
        </w:rPr>
        <w:t>符合</w:t>
      </w:r>
      <w:r>
        <w:rPr>
          <w:rFonts w:hint="eastAsia" w:ascii="仿宋" w:hAnsi="仿宋" w:eastAsia="仿宋"/>
          <w:bCs/>
          <w:color w:val="auto"/>
          <w:spacing w:val="-4"/>
          <w:sz w:val="32"/>
          <w:szCs w:val="32"/>
          <w:lang w:eastAsia="zh-CN"/>
        </w:rPr>
        <w:t>《财务管理制度》、《预算管理制度》、《财政局三重一大议事制度》、《财政局党组议事规则》等</w:t>
      </w:r>
      <w:r>
        <w:rPr>
          <w:rFonts w:hint="eastAsia" w:ascii="仿宋" w:hAnsi="仿宋" w:eastAsia="仿宋"/>
          <w:bCs/>
          <w:color w:val="auto"/>
          <w:spacing w:val="-4"/>
          <w:sz w:val="32"/>
          <w:szCs w:val="32"/>
        </w:rPr>
        <w:t>，包括会计人员集中核算工作管理制度、财务收支审批制度、财务稽核制度、财务牵制制度、会计主管岗位职责等制度规定，</w:t>
      </w:r>
      <w:r>
        <w:rPr>
          <w:rFonts w:hint="eastAsia" w:ascii="仿宋" w:hAnsi="仿宋" w:eastAsia="仿宋"/>
          <w:bCs/>
          <w:color w:val="auto"/>
          <w:spacing w:val="-4"/>
          <w:sz w:val="32"/>
          <w:szCs w:val="32"/>
          <w:lang w:eastAsia="zh-CN"/>
        </w:rPr>
        <w:t>专项资金</w:t>
      </w:r>
      <w:r>
        <w:rPr>
          <w:rFonts w:hint="eastAsia" w:ascii="仿宋" w:hAnsi="仿宋" w:eastAsia="仿宋"/>
          <w:bCs/>
          <w:color w:val="auto"/>
          <w:spacing w:val="-4"/>
          <w:sz w:val="32"/>
          <w:szCs w:val="32"/>
        </w:rPr>
        <w:t>支出的拨付有完整的审批程序和手续，不存在截留、挤占、挪用等情况</w:t>
      </w:r>
      <w:r>
        <w:rPr>
          <w:rFonts w:hint="eastAsia" w:ascii="仿宋" w:hAnsi="仿宋" w:eastAsia="仿宋"/>
          <w:bCs/>
          <w:color w:val="auto"/>
          <w:spacing w:val="-4"/>
          <w:sz w:val="32"/>
          <w:szCs w:val="32"/>
          <w:lang w:eastAsia="zh-CN"/>
        </w:rPr>
        <w:t>。</w:t>
      </w:r>
    </w:p>
    <w:p>
      <w:pPr>
        <w:adjustRightInd w:val="0"/>
        <w:snapToGrid w:val="0"/>
        <w:spacing w:line="560" w:lineRule="exact"/>
        <w:ind w:firstLine="624" w:firstLineChars="200"/>
        <w:outlineLvl w:val="0"/>
        <w:rPr>
          <w:rStyle w:val="19"/>
          <w:rFonts w:ascii="黑体" w:hAnsi="黑体" w:eastAsia="黑体"/>
          <w:b w:val="0"/>
          <w:color w:val="auto"/>
          <w:spacing w:val="-4"/>
          <w:sz w:val="32"/>
          <w:szCs w:val="32"/>
        </w:rPr>
      </w:pPr>
      <w:r>
        <w:rPr>
          <w:rStyle w:val="19"/>
          <w:rFonts w:hint="eastAsia" w:ascii="黑体" w:hAnsi="黑体" w:eastAsia="黑体"/>
          <w:b w:val="0"/>
          <w:color w:val="auto"/>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color w:val="auto"/>
          <w:spacing w:val="-4"/>
          <w:sz w:val="32"/>
          <w:szCs w:val="32"/>
        </w:rPr>
      </w:pPr>
      <w:r>
        <w:rPr>
          <w:rStyle w:val="19"/>
          <w:rFonts w:hint="eastAsia" w:ascii="楷体" w:hAnsi="楷体" w:eastAsia="楷体"/>
          <w:color w:val="auto"/>
          <w:spacing w:val="-4"/>
          <w:sz w:val="32"/>
          <w:szCs w:val="32"/>
        </w:rPr>
        <w:t>（一）项目组织情况分析</w:t>
      </w:r>
    </w:p>
    <w:p>
      <w:pPr>
        <w:adjustRightInd w:val="0"/>
        <w:snapToGrid w:val="0"/>
        <w:spacing w:line="560" w:lineRule="exact"/>
        <w:ind w:firstLine="624" w:firstLineChars="200"/>
        <w:rPr>
          <w:rStyle w:val="19"/>
          <w:rFonts w:ascii="仿宋" w:hAnsi="仿宋" w:eastAsia="仿宋"/>
          <w:b w:val="0"/>
          <w:color w:val="auto"/>
          <w:spacing w:val="-4"/>
          <w:sz w:val="32"/>
          <w:szCs w:val="32"/>
        </w:rPr>
      </w:pPr>
      <w:r>
        <w:rPr>
          <w:rStyle w:val="19"/>
          <w:rFonts w:hint="eastAsia" w:ascii="仿宋" w:hAnsi="仿宋" w:eastAsia="仿宋"/>
          <w:b w:val="0"/>
          <w:color w:val="auto"/>
          <w:spacing w:val="-4"/>
          <w:sz w:val="32"/>
          <w:szCs w:val="32"/>
        </w:rPr>
        <w:t>该项目属于经常性零星项目,没有达到招投标限额,由本单位自行组织实施。实施过程均按照本单位制定的管理制度执行。</w:t>
      </w:r>
    </w:p>
    <w:p>
      <w:pPr>
        <w:adjustRightInd w:val="0"/>
        <w:snapToGrid w:val="0"/>
        <w:spacing w:line="560" w:lineRule="exact"/>
        <w:ind w:firstLine="624" w:firstLineChars="200"/>
        <w:rPr>
          <w:rStyle w:val="19"/>
          <w:rFonts w:ascii="仿宋" w:hAnsi="仿宋" w:eastAsia="仿宋"/>
          <w:b w:val="0"/>
          <w:color w:val="auto"/>
          <w:spacing w:val="-4"/>
          <w:sz w:val="32"/>
          <w:szCs w:val="32"/>
        </w:rPr>
      </w:pPr>
      <w:r>
        <w:rPr>
          <w:rStyle w:val="19"/>
          <w:rFonts w:hint="eastAsia" w:ascii="仿宋" w:hAnsi="仿宋" w:eastAsia="仿宋"/>
          <w:b w:val="0"/>
          <w:color w:val="auto"/>
          <w:spacing w:val="-4"/>
          <w:sz w:val="32"/>
          <w:szCs w:val="32"/>
        </w:rPr>
        <w:t>本项目不存在调整情况。</w:t>
      </w:r>
    </w:p>
    <w:p>
      <w:pPr>
        <w:adjustRightInd w:val="0"/>
        <w:snapToGrid w:val="0"/>
        <w:spacing w:line="560" w:lineRule="exact"/>
        <w:ind w:firstLine="624" w:firstLineChars="200"/>
        <w:rPr>
          <w:rStyle w:val="19"/>
          <w:rFonts w:ascii="仿宋" w:hAnsi="仿宋" w:eastAsia="仿宋"/>
          <w:b w:val="0"/>
          <w:color w:val="auto"/>
          <w:spacing w:val="-4"/>
          <w:sz w:val="32"/>
          <w:szCs w:val="32"/>
        </w:rPr>
      </w:pPr>
      <w:r>
        <w:rPr>
          <w:rStyle w:val="19"/>
          <w:rFonts w:hint="eastAsia" w:ascii="仿宋" w:hAnsi="仿宋" w:eastAsia="仿宋"/>
          <w:b w:val="0"/>
          <w:color w:val="auto"/>
          <w:spacing w:val="-4"/>
          <w:sz w:val="32"/>
          <w:szCs w:val="32"/>
        </w:rPr>
        <w:t>本项目不存在检查验收程序。</w:t>
      </w:r>
    </w:p>
    <w:p>
      <w:pPr>
        <w:adjustRightInd w:val="0"/>
        <w:snapToGrid w:val="0"/>
        <w:spacing w:line="560" w:lineRule="exact"/>
        <w:ind w:firstLine="627" w:firstLineChars="200"/>
        <w:outlineLvl w:val="0"/>
        <w:rPr>
          <w:rStyle w:val="19"/>
          <w:rFonts w:ascii="楷体" w:hAnsi="楷体" w:eastAsia="楷体"/>
          <w:color w:val="auto"/>
          <w:spacing w:val="-4"/>
          <w:sz w:val="32"/>
          <w:szCs w:val="32"/>
        </w:rPr>
      </w:pPr>
      <w:r>
        <w:rPr>
          <w:rStyle w:val="19"/>
          <w:rFonts w:hint="eastAsia" w:ascii="楷体" w:hAnsi="楷体" w:eastAsia="楷体"/>
          <w:color w:val="auto"/>
          <w:spacing w:val="-4"/>
          <w:sz w:val="32"/>
          <w:szCs w:val="32"/>
        </w:rPr>
        <w:t>（二）项目管理情况分析</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firstLineChars="200"/>
        <w:jc w:val="left"/>
        <w:rPr>
          <w:rFonts w:hint="eastAsia" w:ascii="方正仿宋_GBK" w:eastAsia="方正仿宋_GBK"/>
          <w:b w:val="0"/>
          <w:bCs/>
          <w:color w:val="auto"/>
          <w:sz w:val="32"/>
          <w:szCs w:val="32"/>
        </w:rPr>
      </w:pPr>
      <w:r>
        <w:rPr>
          <w:rFonts w:hint="eastAsia" w:ascii="方正仿宋_GBK" w:eastAsia="方正仿宋_GBK"/>
          <w:b w:val="0"/>
          <w:bCs/>
          <w:color w:val="auto"/>
          <w:sz w:val="32"/>
          <w:szCs w:val="32"/>
          <w:lang w:eastAsia="zh-CN"/>
        </w:rPr>
        <w:t>我县会计委派工作将</w:t>
      </w:r>
      <w:r>
        <w:rPr>
          <w:rFonts w:hint="eastAsia" w:ascii="方正仿宋_GBK" w:eastAsia="方正仿宋_GBK"/>
          <w:b w:val="0"/>
          <w:bCs/>
          <w:color w:val="auto"/>
          <w:sz w:val="32"/>
          <w:szCs w:val="32"/>
        </w:rPr>
        <w:t>有效解决财政部门对财政资金支</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right="0"/>
        <w:jc w:val="left"/>
        <w:rPr>
          <w:rFonts w:hint="eastAsia" w:ascii="仿宋" w:hAnsi="仿宋" w:eastAsia="仿宋"/>
          <w:color w:val="auto"/>
          <w:sz w:val="32"/>
          <w:szCs w:val="32"/>
          <w:lang w:val="en-US" w:eastAsia="zh-CN"/>
        </w:rPr>
      </w:pPr>
      <w:r>
        <w:rPr>
          <w:rFonts w:hint="eastAsia" w:ascii="方正仿宋_GBK" w:eastAsia="方正仿宋_GBK"/>
          <w:b w:val="0"/>
          <w:bCs/>
          <w:color w:val="auto"/>
          <w:sz w:val="32"/>
          <w:szCs w:val="32"/>
        </w:rPr>
        <w:t>出全过程监督和管理“缺位”与“越位”的问题，从而实行“乡财县管”，确保财政监督始终贯穿财政资金运用的全过程</w:t>
      </w:r>
      <w:r>
        <w:rPr>
          <w:rFonts w:hint="eastAsia" w:ascii="仿宋" w:hAnsi="仿宋" w:eastAsia="仿宋"/>
          <w:b w:val="0"/>
          <w:bCs/>
          <w:color w:val="auto"/>
          <w:sz w:val="32"/>
          <w:szCs w:val="32"/>
          <w:lang w:val="en-US" w:eastAsia="zh-CN"/>
        </w:rPr>
        <w:t>，</w:t>
      </w:r>
      <w:r>
        <w:rPr>
          <w:rFonts w:hint="eastAsia" w:ascii="仿宋" w:hAnsi="仿宋" w:eastAsia="仿宋"/>
          <w:color w:val="auto"/>
          <w:sz w:val="32"/>
          <w:szCs w:val="32"/>
          <w:lang w:val="en-US" w:eastAsia="zh-CN"/>
        </w:rPr>
        <w:t>避免财政资金出现违规现象。</w:t>
      </w:r>
      <w:r>
        <w:rPr>
          <w:rFonts w:ascii="仿宋" w:hAnsi="仿宋" w:eastAsia="仿宋" w:cs="仿宋"/>
          <w:i w:val="0"/>
          <w:caps w:val="0"/>
          <w:color w:val="auto"/>
          <w:spacing w:val="0"/>
          <w:sz w:val="32"/>
          <w:szCs w:val="32"/>
          <w:shd w:val="clear" w:fill="FFFFFF"/>
        </w:rPr>
        <w:t>我单位历来重视单位内部管理制度建设及监督，</w:t>
      </w:r>
      <w:r>
        <w:rPr>
          <w:rFonts w:hint="eastAsia" w:ascii="仿宋" w:hAnsi="仿宋" w:eastAsia="仿宋" w:cs="仿宋"/>
          <w:i w:val="0"/>
          <w:caps w:val="0"/>
          <w:color w:val="auto"/>
          <w:spacing w:val="0"/>
          <w:sz w:val="32"/>
          <w:szCs w:val="32"/>
          <w:shd w:val="clear" w:fill="FFFFFF"/>
          <w:lang w:eastAsia="zh-CN"/>
        </w:rPr>
        <w:t>为确保该项经费合理合规使用，切实</w:t>
      </w:r>
      <w:r>
        <w:rPr>
          <w:rFonts w:ascii="仿宋" w:hAnsi="仿宋" w:eastAsia="仿宋" w:cs="仿宋"/>
          <w:i w:val="0"/>
          <w:caps w:val="0"/>
          <w:color w:val="auto"/>
          <w:spacing w:val="0"/>
          <w:sz w:val="32"/>
          <w:szCs w:val="32"/>
          <w:shd w:val="clear" w:fill="FFFFFF"/>
        </w:rPr>
        <w:t>加强财务管理，强化财务监督，增强法纪观念，遵守规章制度。为保证财务管理工作规范有序进行，</w:t>
      </w:r>
      <w:r>
        <w:rPr>
          <w:rFonts w:hint="eastAsia" w:ascii="仿宋" w:hAnsi="仿宋" w:eastAsia="仿宋" w:cs="仿宋"/>
          <w:i w:val="0"/>
          <w:caps w:val="0"/>
          <w:color w:val="auto"/>
          <w:spacing w:val="0"/>
          <w:sz w:val="32"/>
          <w:szCs w:val="32"/>
          <w:shd w:val="clear" w:fill="FFFFFF"/>
        </w:rPr>
        <w:t>201</w:t>
      </w:r>
      <w:r>
        <w:rPr>
          <w:rFonts w:hint="eastAsia" w:ascii="仿宋" w:hAnsi="仿宋" w:eastAsia="仿宋" w:cs="仿宋"/>
          <w:i w:val="0"/>
          <w:caps w:val="0"/>
          <w:color w:val="auto"/>
          <w:spacing w:val="0"/>
          <w:sz w:val="32"/>
          <w:szCs w:val="32"/>
          <w:shd w:val="clear" w:fill="FFFFFF"/>
          <w:lang w:val="en-US" w:eastAsia="zh-CN"/>
        </w:rPr>
        <w:t>8</w:t>
      </w:r>
      <w:r>
        <w:rPr>
          <w:rFonts w:hint="eastAsia" w:ascii="仿宋" w:hAnsi="仿宋" w:eastAsia="仿宋" w:cs="仿宋"/>
          <w:i w:val="0"/>
          <w:caps w:val="0"/>
          <w:color w:val="auto"/>
          <w:spacing w:val="0"/>
          <w:sz w:val="32"/>
          <w:szCs w:val="32"/>
          <w:shd w:val="clear" w:fill="FFFFFF"/>
        </w:rPr>
        <w:t>年我们修改完善了相关财务管理的制度、规定，成立了财务监督小组，加强内部控制和监督。对各项资金的管理、经费收支审批等均作了明确规定，正确组织资金的筹集、调度和使用。各项经费支出实行限额把关、一支笔审批制度。严格执行上级关于“一把手不直接分管财务”的规定，由副局长分管财务并一支笔签批财务单据。</w:t>
      </w:r>
      <w:r>
        <w:rPr>
          <w:rFonts w:hint="eastAsia" w:ascii="仿宋" w:hAnsi="仿宋" w:eastAsia="仿宋" w:cs="仿宋"/>
          <w:i w:val="0"/>
          <w:caps w:val="0"/>
          <w:color w:val="auto"/>
          <w:spacing w:val="0"/>
          <w:sz w:val="32"/>
          <w:szCs w:val="32"/>
          <w:shd w:val="clear" w:fill="FFFFFF"/>
          <w:lang w:eastAsia="zh-CN"/>
        </w:rPr>
        <w:t>对所有大额支出</w:t>
      </w:r>
      <w:r>
        <w:rPr>
          <w:rFonts w:hint="eastAsia" w:ascii="仿宋" w:hAnsi="仿宋" w:eastAsia="仿宋" w:cs="仿宋"/>
          <w:i w:val="0"/>
          <w:caps w:val="0"/>
          <w:color w:val="auto"/>
          <w:spacing w:val="0"/>
          <w:sz w:val="32"/>
          <w:szCs w:val="32"/>
          <w:shd w:val="clear" w:fill="FFFFFF"/>
        </w:rPr>
        <w:t>专题报告需经会议研究通过。 强化制度执行。切实做好厉行节约工作，全面落实各项管理制度要求，努力降低行政成本。严格公务接待费、差旅费、会议费和培训费审核审批程序，加强对公务用车的管理，实行限额把关、一支笔审批制度，做到一事一审批、一事一结账，各项费用严格履行</w:t>
      </w:r>
      <w:r>
        <w:rPr>
          <w:rFonts w:hint="eastAsia" w:ascii="仿宋" w:hAnsi="仿宋" w:eastAsia="仿宋" w:cs="仿宋"/>
          <w:i w:val="0"/>
          <w:caps w:val="0"/>
          <w:color w:val="auto"/>
          <w:spacing w:val="0"/>
          <w:sz w:val="32"/>
          <w:szCs w:val="32"/>
          <w:shd w:val="clear" w:fill="FFFFFF"/>
          <w:lang w:eastAsia="zh-CN"/>
        </w:rPr>
        <w:t>审批</w:t>
      </w:r>
      <w:r>
        <w:rPr>
          <w:rFonts w:hint="eastAsia" w:ascii="仿宋" w:hAnsi="仿宋" w:eastAsia="仿宋" w:cs="仿宋"/>
          <w:i w:val="0"/>
          <w:caps w:val="0"/>
          <w:color w:val="auto"/>
          <w:spacing w:val="0"/>
          <w:sz w:val="32"/>
          <w:szCs w:val="32"/>
          <w:shd w:val="clear" w:fill="FFFFFF"/>
        </w:rPr>
        <w:t>程序。</w:t>
      </w:r>
    </w:p>
    <w:p>
      <w:pPr>
        <w:adjustRightInd w:val="0"/>
        <w:snapToGrid w:val="0"/>
        <w:spacing w:line="560" w:lineRule="exact"/>
        <w:ind w:firstLine="624" w:firstLineChars="200"/>
        <w:outlineLvl w:val="0"/>
        <w:rPr>
          <w:rStyle w:val="19"/>
          <w:rFonts w:ascii="黑体" w:hAnsi="黑体" w:eastAsia="黑体"/>
          <w:color w:val="auto"/>
        </w:rPr>
      </w:pPr>
      <w:r>
        <w:rPr>
          <w:rStyle w:val="19"/>
          <w:rFonts w:hint="eastAsia" w:ascii="黑体" w:hAnsi="黑体" w:eastAsia="黑体"/>
          <w:b w:val="0"/>
          <w:color w:val="auto"/>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color w:val="auto"/>
          <w:spacing w:val="-4"/>
          <w:sz w:val="32"/>
          <w:szCs w:val="32"/>
        </w:rPr>
      </w:pPr>
      <w:r>
        <w:rPr>
          <w:rFonts w:hint="eastAsia" w:ascii="楷体" w:hAnsi="楷体" w:eastAsia="楷体"/>
          <w:b/>
          <w:color w:val="auto"/>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二级指标</w:t>
      </w:r>
      <w:r>
        <w:rPr>
          <w:rFonts w:hint="eastAsia" w:ascii="仿宋" w:hAnsi="仿宋" w:eastAsia="仿宋"/>
          <w:bCs/>
          <w:color w:val="auto"/>
          <w:spacing w:val="-4"/>
          <w:sz w:val="32"/>
          <w:szCs w:val="32"/>
          <w:lang w:val="en-US" w:eastAsia="zh-CN"/>
        </w:rPr>
        <w:t>7</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三级指标</w:t>
      </w:r>
      <w:r>
        <w:rPr>
          <w:rFonts w:hint="eastAsia" w:ascii="仿宋" w:hAnsi="仿宋" w:eastAsia="仿宋"/>
          <w:bCs/>
          <w:color w:val="auto"/>
          <w:spacing w:val="-4"/>
          <w:sz w:val="32"/>
          <w:szCs w:val="32"/>
          <w:lang w:val="en-US" w:eastAsia="zh-CN"/>
        </w:rPr>
        <w:t>7</w:t>
      </w:r>
      <w:r>
        <w:rPr>
          <w:rFonts w:ascii="仿宋" w:hAnsi="仿宋" w:eastAsia="仿宋"/>
          <w:bCs/>
          <w:color w:val="auto"/>
          <w:spacing w:val="-4"/>
          <w:sz w:val="32"/>
          <w:szCs w:val="32"/>
        </w:rPr>
        <w:t>个</w:t>
      </w:r>
      <w:r>
        <w:rPr>
          <w:rFonts w:hint="eastAsia" w:ascii="仿宋" w:hAnsi="仿宋" w:eastAsia="仿宋"/>
          <w:bCs/>
          <w:color w:val="auto"/>
          <w:spacing w:val="-4"/>
          <w:sz w:val="32"/>
          <w:szCs w:val="32"/>
        </w:rPr>
        <w:t>，其中</w:t>
      </w:r>
      <w:r>
        <w:rPr>
          <w:rFonts w:ascii="仿宋" w:hAnsi="仿宋" w:eastAsia="仿宋"/>
          <w:bCs/>
          <w:color w:val="auto"/>
          <w:spacing w:val="-4"/>
          <w:sz w:val="32"/>
          <w:szCs w:val="32"/>
        </w:rPr>
        <w:t>已完成三级指标</w:t>
      </w:r>
      <w:r>
        <w:rPr>
          <w:rFonts w:hint="eastAsia" w:ascii="仿宋" w:hAnsi="仿宋" w:eastAsia="仿宋"/>
          <w:bCs/>
          <w:color w:val="auto"/>
          <w:spacing w:val="-4"/>
          <w:sz w:val="32"/>
          <w:szCs w:val="32"/>
          <w:lang w:val="en-US" w:eastAsia="zh-CN"/>
        </w:rPr>
        <w:t>7</w:t>
      </w:r>
      <w:r>
        <w:rPr>
          <w:rFonts w:ascii="仿宋" w:hAnsi="仿宋" w:eastAsia="仿宋"/>
          <w:bCs/>
          <w:color w:val="auto"/>
          <w:spacing w:val="-4"/>
          <w:sz w:val="32"/>
          <w:szCs w:val="32"/>
        </w:rPr>
        <w:t>个</w:t>
      </w:r>
      <w:r>
        <w:rPr>
          <w:rFonts w:hint="eastAsia" w:ascii="仿宋" w:hAnsi="仿宋" w:eastAsia="仿宋"/>
          <w:bCs/>
          <w:color w:val="auto"/>
          <w:spacing w:val="-4"/>
          <w:sz w:val="32"/>
          <w:szCs w:val="32"/>
        </w:rPr>
        <w:t>，指标完成率为</w:t>
      </w:r>
      <w:r>
        <w:rPr>
          <w:rFonts w:hint="eastAsia" w:ascii="仿宋" w:hAnsi="仿宋" w:eastAsia="仿宋"/>
          <w:bCs/>
          <w:color w:val="auto"/>
          <w:spacing w:val="-4"/>
          <w:sz w:val="32"/>
          <w:szCs w:val="32"/>
          <w:lang w:val="en-US" w:eastAsia="zh-CN"/>
        </w:rPr>
        <w:t>100</w:t>
      </w:r>
      <w:r>
        <w:rPr>
          <w:rFonts w:hint="eastAsia" w:ascii="仿宋" w:hAnsi="仿宋" w:eastAsia="仿宋"/>
          <w:bCs/>
          <w:color w:val="auto"/>
          <w:spacing w:val="-4"/>
          <w:sz w:val="32"/>
          <w:szCs w:val="32"/>
        </w:rPr>
        <w:t>%。</w:t>
      </w:r>
    </w:p>
    <w:p>
      <w:pPr>
        <w:adjustRightInd w:val="0"/>
        <w:snapToGrid w:val="0"/>
        <w:spacing w:line="560" w:lineRule="exact"/>
        <w:ind w:firstLine="624" w:firstLineChars="200"/>
        <w:rPr>
          <w:rStyle w:val="19"/>
          <w:rFonts w:hint="eastAsia" w:ascii="仿宋" w:hAnsi="仿宋" w:eastAsia="仿宋"/>
          <w:b w:val="0"/>
          <w:color w:val="auto"/>
          <w:spacing w:val="-4"/>
          <w:sz w:val="32"/>
          <w:szCs w:val="32"/>
          <w:lang w:eastAsia="zh-CN"/>
        </w:rPr>
      </w:pPr>
      <w:r>
        <w:rPr>
          <w:rStyle w:val="19"/>
          <w:rFonts w:hint="eastAsia" w:ascii="仿宋" w:hAnsi="仿宋" w:eastAsia="仿宋"/>
          <w:b w:val="0"/>
          <w:color w:val="auto"/>
          <w:spacing w:val="-4"/>
          <w:sz w:val="32"/>
          <w:szCs w:val="32"/>
        </w:rPr>
        <w:t>经济性：</w:t>
      </w:r>
      <w:r>
        <w:rPr>
          <w:rStyle w:val="19"/>
          <w:rFonts w:hint="eastAsia" w:ascii="仿宋" w:hAnsi="仿宋" w:eastAsia="仿宋"/>
          <w:b w:val="0"/>
          <w:color w:val="auto"/>
          <w:spacing w:val="-4"/>
          <w:sz w:val="32"/>
          <w:szCs w:val="32"/>
          <w:lang w:eastAsia="zh-CN"/>
        </w:rPr>
        <w:t>无</w:t>
      </w:r>
    </w:p>
    <w:p>
      <w:pPr>
        <w:adjustRightInd w:val="0"/>
        <w:snapToGrid w:val="0"/>
        <w:spacing w:line="560" w:lineRule="exact"/>
        <w:ind w:firstLine="624" w:firstLineChars="200"/>
        <w:rPr>
          <w:rStyle w:val="19"/>
          <w:rFonts w:ascii="仿宋" w:hAnsi="仿宋" w:eastAsia="仿宋"/>
          <w:b w:val="0"/>
          <w:color w:val="auto"/>
          <w:spacing w:val="-4"/>
          <w:sz w:val="32"/>
          <w:szCs w:val="32"/>
        </w:rPr>
      </w:pPr>
      <w:r>
        <w:rPr>
          <w:rStyle w:val="19"/>
          <w:rFonts w:hint="eastAsia" w:ascii="仿宋" w:hAnsi="仿宋" w:eastAsia="仿宋"/>
          <w:b w:val="0"/>
          <w:color w:val="auto"/>
          <w:spacing w:val="-4"/>
          <w:sz w:val="32"/>
          <w:szCs w:val="32"/>
        </w:rPr>
        <w:t>效率性：</w:t>
      </w:r>
      <w:r>
        <w:rPr>
          <w:rStyle w:val="19"/>
          <w:rFonts w:hint="eastAsia" w:ascii="仿宋" w:hAnsi="仿宋" w:eastAsia="仿宋"/>
          <w:b w:val="0"/>
          <w:color w:val="auto"/>
          <w:spacing w:val="-4"/>
          <w:sz w:val="32"/>
          <w:szCs w:val="32"/>
          <w:lang w:eastAsia="zh-CN"/>
        </w:rPr>
        <w:t>无</w:t>
      </w:r>
      <w:r>
        <w:rPr>
          <w:rStyle w:val="19"/>
          <w:rFonts w:hint="eastAsia" w:ascii="仿宋" w:hAnsi="仿宋" w:eastAsia="仿宋"/>
          <w:b w:val="0"/>
          <w:color w:val="auto"/>
          <w:spacing w:val="-4"/>
          <w:sz w:val="32"/>
          <w:szCs w:val="32"/>
        </w:rPr>
        <w:t>。</w:t>
      </w:r>
    </w:p>
    <w:p>
      <w:pPr>
        <w:adjustRightInd w:val="0"/>
        <w:snapToGrid w:val="0"/>
        <w:spacing w:line="560" w:lineRule="exact"/>
        <w:ind w:firstLine="624" w:firstLineChars="200"/>
        <w:rPr>
          <w:rFonts w:ascii="仿宋" w:hAnsi="仿宋" w:eastAsia="仿宋"/>
          <w:bCs/>
          <w:color w:val="auto"/>
          <w:spacing w:val="-4"/>
          <w:sz w:val="32"/>
          <w:szCs w:val="32"/>
        </w:rPr>
      </w:pPr>
      <w:r>
        <w:rPr>
          <w:rStyle w:val="19"/>
          <w:rFonts w:hint="eastAsia" w:ascii="仿宋" w:hAnsi="仿宋" w:eastAsia="仿宋"/>
          <w:b w:val="0"/>
          <w:color w:val="auto"/>
          <w:spacing w:val="-4"/>
          <w:sz w:val="32"/>
          <w:szCs w:val="32"/>
        </w:rPr>
        <w:t>效益性：不断提高干部工作效率和服务水平，更好的开展财政工作。</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2018年本项目绩效目标全部达成，不存在未完成原因分析。</w:t>
      </w:r>
    </w:p>
    <w:p>
      <w:pPr>
        <w:adjustRightInd w:val="0"/>
        <w:snapToGrid w:val="0"/>
        <w:spacing w:line="560" w:lineRule="exact"/>
        <w:ind w:firstLine="624" w:firstLineChars="200"/>
        <w:outlineLvl w:val="0"/>
        <w:rPr>
          <w:rStyle w:val="19"/>
          <w:rFonts w:ascii="黑体" w:hAnsi="黑体" w:eastAsia="黑体"/>
          <w:b w:val="0"/>
          <w:color w:val="auto"/>
          <w:spacing w:val="-4"/>
          <w:sz w:val="32"/>
          <w:szCs w:val="32"/>
        </w:rPr>
      </w:pPr>
      <w:r>
        <w:rPr>
          <w:rStyle w:val="19"/>
          <w:rFonts w:hint="eastAsia" w:ascii="黑体" w:hAnsi="黑体" w:eastAsia="黑体"/>
          <w:b w:val="0"/>
          <w:color w:val="auto"/>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（一）后续工作计划</w:t>
      </w:r>
    </w:p>
    <w:p>
      <w:pPr>
        <w:spacing w:line="560" w:lineRule="exact"/>
        <w:ind w:firstLine="640" w:firstLineChars="200"/>
        <w:rPr>
          <w:rFonts w:ascii="仿宋" w:hAnsi="仿宋" w:eastAsia="仿宋"/>
          <w:bCs/>
          <w:color w:val="auto"/>
          <w:spacing w:val="-4"/>
          <w:sz w:val="32"/>
          <w:szCs w:val="32"/>
        </w:rPr>
      </w:pPr>
      <w:r>
        <w:rPr>
          <w:rFonts w:hint="eastAsia" w:ascii="仿宋" w:hAnsi="仿宋" w:eastAsia="仿宋"/>
          <w:color w:val="auto"/>
          <w:sz w:val="32"/>
          <w:szCs w:val="32"/>
          <w:lang w:eastAsia="zh-CN"/>
        </w:rPr>
        <w:t>一是我局将对委派会计人员</w:t>
      </w:r>
      <w:r>
        <w:rPr>
          <w:rFonts w:hint="eastAsia" w:ascii="仿宋" w:hAnsi="仿宋" w:eastAsia="仿宋"/>
          <w:color w:val="auto"/>
          <w:sz w:val="32"/>
          <w:szCs w:val="32"/>
        </w:rPr>
        <w:t>继续加强财会业务知识培训。建议上级财政部门提供学习平台，确定一两个先进县市，组织乡镇委派会计人员实地学习，进一步提高财务操作水平。</w:t>
      </w:r>
      <w:r>
        <w:rPr>
          <w:rFonts w:hint="eastAsia" w:ascii="仿宋_GB2312" w:eastAsia="仿宋_GB2312"/>
          <w:color w:val="auto"/>
          <w:sz w:val="32"/>
          <w:szCs w:val="32"/>
          <w:lang w:eastAsia="zh-CN"/>
        </w:rPr>
        <w:t>二</w:t>
      </w:r>
      <w:r>
        <w:rPr>
          <w:rFonts w:hint="eastAsia" w:ascii="仿宋_GB2312" w:eastAsia="仿宋_GB2312"/>
          <w:color w:val="auto"/>
          <w:sz w:val="32"/>
          <w:szCs w:val="32"/>
        </w:rPr>
        <w:t>是规范乡镇财务内控管理。财务印鉴管理采取乡镇财务专用章由乡财核算中心会计管理，财务负责人及报账员私章由乡镇管理，做到</w:t>
      </w:r>
      <w:r>
        <w:rPr>
          <w:rFonts w:ascii="仿宋" w:hAnsi="仿宋" w:eastAsia="仿宋" w:cs="仿宋"/>
          <w:color w:val="auto"/>
          <w:sz w:val="32"/>
          <w:szCs w:val="32"/>
        </w:rPr>
        <w:t>相互</w:t>
      </w:r>
      <w:r>
        <w:rPr>
          <w:rFonts w:hint="eastAsia" w:ascii="仿宋" w:hAnsi="仿宋" w:eastAsia="仿宋" w:cs="仿宋"/>
          <w:color w:val="auto"/>
          <w:sz w:val="32"/>
          <w:szCs w:val="32"/>
        </w:rPr>
        <w:t>牵制、</w:t>
      </w:r>
      <w:r>
        <w:rPr>
          <w:rFonts w:ascii="仿宋" w:hAnsi="仿宋" w:eastAsia="仿宋" w:cs="仿宋"/>
          <w:color w:val="auto"/>
          <w:sz w:val="32"/>
          <w:szCs w:val="32"/>
        </w:rPr>
        <w:t>监督</w:t>
      </w:r>
      <w:r>
        <w:rPr>
          <w:rFonts w:hint="eastAsia" w:ascii="仿宋" w:hAnsi="仿宋" w:eastAsia="仿宋" w:cs="仿宋"/>
          <w:color w:val="auto"/>
          <w:sz w:val="32"/>
          <w:szCs w:val="32"/>
        </w:rPr>
        <w:t>的作用。</w:t>
      </w:r>
      <w:r>
        <w:rPr>
          <w:rFonts w:hint="eastAsia" w:ascii="仿宋" w:hAnsi="仿宋" w:eastAsia="仿宋" w:cs="仿宋"/>
          <w:color w:val="auto"/>
          <w:sz w:val="32"/>
          <w:szCs w:val="32"/>
          <w:lang w:eastAsia="zh-CN"/>
        </w:rPr>
        <w:t>三</w:t>
      </w:r>
      <w:r>
        <w:rPr>
          <w:rFonts w:hint="eastAsia" w:ascii="仿宋" w:hAnsi="仿宋" w:eastAsia="仿宋" w:cs="仿宋"/>
          <w:color w:val="auto"/>
          <w:sz w:val="32"/>
          <w:szCs w:val="32"/>
        </w:rPr>
        <w:t>是建立和完善英吉沙县乡镇委派会计工作制度，依法依规履行乡镇财务和村级财务资金核算工作职责。进一步规范了资金拨付流程，保证会计信息的合法性、真实性、准确性和完整性。</w:t>
      </w:r>
      <w:r>
        <w:rPr>
          <w:rFonts w:hint="eastAsia" w:ascii="仿宋" w:hAnsi="仿宋" w:eastAsia="仿宋" w:cs="仿宋"/>
          <w:color w:val="auto"/>
          <w:sz w:val="32"/>
          <w:szCs w:val="32"/>
          <w:lang w:eastAsia="zh-CN"/>
        </w:rPr>
        <w:t>四</w:t>
      </w:r>
      <w:r>
        <w:rPr>
          <w:rFonts w:hint="eastAsia" w:ascii="仿宋" w:hAnsi="仿宋" w:eastAsia="仿宋" w:cs="仿宋"/>
          <w:color w:val="auto"/>
          <w:sz w:val="32"/>
          <w:szCs w:val="32"/>
        </w:rPr>
        <w:t>是加强对委派会计工作的指导和监督，不断规范管理乡镇财务和村级财务的会计基础资料，提高会计规范化工作水平。</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（二）主要经验及做法、存在问题和建议</w:t>
      </w:r>
    </w:p>
    <w:p>
      <w:pPr>
        <w:numPr>
          <w:ilvl w:val="0"/>
          <w:numId w:val="1"/>
        </w:numPr>
        <w:adjustRightInd w:val="0"/>
        <w:snapToGrid w:val="0"/>
        <w:spacing w:line="560" w:lineRule="exact"/>
        <w:ind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主要经验及做法</w:t>
      </w:r>
    </w:p>
    <w:p>
      <w:pPr>
        <w:adjustRightInd w:val="0"/>
        <w:snapToGrid w:val="0"/>
        <w:spacing w:line="560" w:lineRule="exact"/>
        <w:ind w:firstLine="640" w:firstLineChars="200"/>
        <w:rPr>
          <w:rFonts w:ascii="仿宋" w:hAnsi="仿宋" w:eastAsia="仿宋"/>
          <w:color w:val="auto"/>
          <w:spacing w:val="-4"/>
          <w:sz w:val="32"/>
          <w:szCs w:val="32"/>
        </w:rPr>
      </w:pPr>
      <w:r>
        <w:rPr>
          <w:rFonts w:hint="eastAsia" w:ascii="仿宋" w:hAnsi="仿宋" w:eastAsia="仿宋" w:cs="仿宋"/>
          <w:i w:val="0"/>
          <w:caps w:val="0"/>
          <w:color w:val="auto"/>
          <w:spacing w:val="0"/>
          <w:sz w:val="32"/>
          <w:szCs w:val="32"/>
          <w:shd w:val="clear" w:fill="FFFFFF"/>
          <w:lang w:eastAsia="zh-CN"/>
        </w:rPr>
        <w:t>英吉沙县财政局切实</w:t>
      </w:r>
      <w:r>
        <w:rPr>
          <w:rFonts w:ascii="仿宋" w:hAnsi="仿宋" w:eastAsia="仿宋" w:cs="仿宋"/>
          <w:i w:val="0"/>
          <w:caps w:val="0"/>
          <w:color w:val="auto"/>
          <w:spacing w:val="0"/>
          <w:sz w:val="32"/>
          <w:szCs w:val="32"/>
          <w:shd w:val="clear" w:fill="FFFFFF"/>
        </w:rPr>
        <w:t>加强财务管理，强化财务监督，增强法纪观念，遵守规章制度。为保证财务管理工作规范有序进行，</w:t>
      </w:r>
      <w:r>
        <w:rPr>
          <w:rFonts w:hint="eastAsia" w:ascii="仿宋" w:hAnsi="仿宋" w:eastAsia="仿宋" w:cs="仿宋"/>
          <w:i w:val="0"/>
          <w:caps w:val="0"/>
          <w:color w:val="auto"/>
          <w:spacing w:val="0"/>
          <w:sz w:val="32"/>
          <w:szCs w:val="32"/>
          <w:shd w:val="clear" w:fill="FFFFFF"/>
        </w:rPr>
        <w:t>我们修改完善了相关财务管理的制度、规定，成立了财务监督小组，加强内部控制和监督。对各项资金的管理、经费收支审批等均作了明确规定，正确组织资金的筹集、调度和使用。各项经费支出实行限额把关、一支笔审批制度。严格执行上级关于“一把手不直接分管财务”的规定，由副局长分管财务并一支笔签批财务单据。</w:t>
      </w:r>
      <w:r>
        <w:rPr>
          <w:rFonts w:hint="eastAsia" w:ascii="仿宋" w:hAnsi="仿宋" w:eastAsia="仿宋" w:cs="仿宋"/>
          <w:i w:val="0"/>
          <w:caps w:val="0"/>
          <w:color w:val="auto"/>
          <w:spacing w:val="0"/>
          <w:sz w:val="32"/>
          <w:szCs w:val="32"/>
          <w:shd w:val="clear" w:fill="FFFFFF"/>
          <w:lang w:eastAsia="zh-CN"/>
        </w:rPr>
        <w:t>对所有大额支出</w:t>
      </w:r>
      <w:r>
        <w:rPr>
          <w:rFonts w:hint="eastAsia" w:ascii="仿宋" w:hAnsi="仿宋" w:eastAsia="仿宋" w:cs="仿宋"/>
          <w:i w:val="0"/>
          <w:caps w:val="0"/>
          <w:color w:val="auto"/>
          <w:spacing w:val="0"/>
          <w:sz w:val="32"/>
          <w:szCs w:val="32"/>
          <w:shd w:val="clear" w:fill="FFFFFF"/>
        </w:rPr>
        <w:t>专题报告需经会议研究通过。 强化制度执行。切实做好厉行节约工作，全面落实各项管理制度要求，努力降低行政成本。</w:t>
      </w:r>
    </w:p>
    <w:p>
      <w:pPr>
        <w:numPr>
          <w:ilvl w:val="0"/>
          <w:numId w:val="1"/>
        </w:numPr>
        <w:adjustRightInd w:val="0"/>
        <w:snapToGrid w:val="0"/>
        <w:spacing w:line="560" w:lineRule="exact"/>
        <w:ind w:left="0" w:leftChars="0"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存在的问题</w:t>
      </w:r>
    </w:p>
    <w:p>
      <w:pPr>
        <w:numPr>
          <w:ilvl w:val="0"/>
          <w:numId w:val="0"/>
        </w:num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lang w:eastAsia="zh-CN"/>
        </w:rPr>
        <w:t>无</w:t>
      </w:r>
    </w:p>
    <w:p>
      <w:pPr>
        <w:numPr>
          <w:ilvl w:val="0"/>
          <w:numId w:val="1"/>
        </w:numPr>
        <w:adjustRightInd w:val="0"/>
        <w:snapToGrid w:val="0"/>
        <w:spacing w:line="560" w:lineRule="exact"/>
        <w:ind w:left="0" w:leftChars="0"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建议</w:t>
      </w:r>
    </w:p>
    <w:p>
      <w:pPr>
        <w:adjustRightInd w:val="0"/>
        <w:snapToGrid w:val="0"/>
        <w:spacing w:line="560" w:lineRule="exact"/>
        <w:ind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合理设置</w:t>
      </w:r>
      <w:r>
        <w:rPr>
          <w:rFonts w:hint="eastAsia" w:ascii="仿宋" w:hAnsi="仿宋" w:eastAsia="仿宋"/>
          <w:bCs/>
          <w:color w:val="auto"/>
          <w:spacing w:val="-4"/>
          <w:sz w:val="32"/>
          <w:szCs w:val="32"/>
          <w:lang w:eastAsia="zh-CN"/>
        </w:rPr>
        <w:t>会计委派工作补助</w:t>
      </w:r>
      <w:r>
        <w:rPr>
          <w:rFonts w:hint="eastAsia" w:ascii="仿宋" w:hAnsi="仿宋" w:eastAsia="仿宋"/>
          <w:bCs/>
          <w:color w:val="auto"/>
          <w:spacing w:val="-4"/>
          <w:sz w:val="32"/>
          <w:szCs w:val="32"/>
        </w:rPr>
        <w:t>经费年初绩效目标，严格按资金具体用途将数量目标全部量化到三级指标，开展绩效监控和绩效自评工作，坚持专款专用的原则，严格按年初拟定的资金使用计划安排支出，不得随意突破计划，改变计划，或进行无计划的支出，以提高财政资金支出的计划性与可控性。合理编制预算，严格按照预算批复用途使用财政工作运行经费，避免出现超预算支出</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资金使用不合理</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挤占专项资金的现象，继续加强</w:t>
      </w:r>
      <w:r>
        <w:rPr>
          <w:rFonts w:hint="eastAsia" w:ascii="仿宋" w:hAnsi="仿宋" w:eastAsia="仿宋"/>
          <w:bCs/>
          <w:color w:val="auto"/>
          <w:spacing w:val="-4"/>
          <w:sz w:val="32"/>
          <w:szCs w:val="32"/>
          <w:lang w:eastAsia="zh-CN"/>
        </w:rPr>
        <w:t>财政干部</w:t>
      </w:r>
      <w:r>
        <w:rPr>
          <w:rFonts w:hint="eastAsia" w:ascii="仿宋" w:hAnsi="仿宋" w:eastAsia="仿宋"/>
          <w:bCs/>
          <w:color w:val="auto"/>
          <w:spacing w:val="-4"/>
          <w:sz w:val="32"/>
          <w:szCs w:val="32"/>
        </w:rPr>
        <w:t>业务培训，提高财政工作人员的业务素质和工作水平</w:t>
      </w:r>
      <w:r>
        <w:rPr>
          <w:rFonts w:hint="eastAsia" w:ascii="仿宋" w:hAnsi="仿宋" w:eastAsia="仿宋"/>
          <w:bCs/>
          <w:color w:val="auto"/>
          <w:spacing w:val="-4"/>
          <w:sz w:val="32"/>
          <w:szCs w:val="32"/>
          <w:lang w:eastAsia="zh-CN"/>
        </w:rPr>
        <w:t>，进一步优化服务方式，简化工作流程，提升服务水平，为群众提供“规范、便民、高效、廉洁”的服务平台。</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（三）其他</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无其他说明内容。</w:t>
      </w:r>
    </w:p>
    <w:p>
      <w:pPr>
        <w:adjustRightInd w:val="0"/>
        <w:snapToGrid w:val="0"/>
        <w:spacing w:line="560" w:lineRule="exact"/>
        <w:ind w:firstLine="624" w:firstLineChars="200"/>
        <w:outlineLvl w:val="0"/>
        <w:rPr>
          <w:rFonts w:ascii="黑体" w:hAnsi="黑体" w:eastAsia="黑体"/>
          <w:bCs/>
          <w:color w:val="auto"/>
          <w:spacing w:val="-4"/>
          <w:sz w:val="32"/>
          <w:szCs w:val="32"/>
        </w:rPr>
      </w:pPr>
      <w:r>
        <w:rPr>
          <w:rStyle w:val="19"/>
          <w:rFonts w:hint="eastAsia" w:ascii="黑体" w:hAnsi="黑体" w:eastAsia="黑体"/>
          <w:b w:val="0"/>
          <w:color w:val="auto"/>
          <w:spacing w:val="-4"/>
          <w:sz w:val="32"/>
          <w:szCs w:val="32"/>
        </w:rPr>
        <w:t>六、项目评价工作情况</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本次评价通过文件研读、实地调研、数据分析等方式，全面了解委派会计工作补贴项目资金的使用效率和效果，项目管理过程是否规范，是否完成了预期绩效目标等。同时，通过开展自我评价来总结经验和教训，为</w:t>
      </w:r>
      <w:r>
        <w:rPr>
          <w:rFonts w:hint="eastAsia" w:ascii="仿宋" w:hAnsi="仿宋" w:eastAsia="仿宋"/>
          <w:color w:val="auto"/>
          <w:spacing w:val="-4"/>
          <w:sz w:val="32"/>
          <w:szCs w:val="32"/>
          <w:lang w:eastAsia="zh-CN"/>
        </w:rPr>
        <w:t>喀什地区英吉沙县财政局</w:t>
      </w:r>
      <w:r>
        <w:rPr>
          <w:rFonts w:hint="eastAsia" w:ascii="仿宋" w:hAnsi="仿宋" w:eastAsia="仿宋"/>
          <w:color w:val="auto"/>
          <w:spacing w:val="-4"/>
          <w:sz w:val="32"/>
          <w:szCs w:val="32"/>
        </w:rPr>
        <w:t>项目今后的开展提供参考建议。</w:t>
      </w:r>
    </w:p>
    <w:p>
      <w:pPr>
        <w:adjustRightInd w:val="0"/>
        <w:snapToGrid w:val="0"/>
        <w:spacing w:line="560" w:lineRule="exact"/>
        <w:ind w:firstLine="624" w:firstLineChars="200"/>
        <w:outlineLvl w:val="0"/>
        <w:rPr>
          <w:rStyle w:val="19"/>
          <w:rFonts w:ascii="黑体" w:hAnsi="黑体" w:eastAsia="黑体"/>
          <w:b w:val="0"/>
          <w:color w:val="auto"/>
          <w:spacing w:val="-4"/>
          <w:sz w:val="32"/>
          <w:szCs w:val="32"/>
        </w:rPr>
      </w:pPr>
      <w:r>
        <w:rPr>
          <w:rStyle w:val="19"/>
          <w:rFonts w:hint="eastAsia" w:ascii="黑体" w:hAnsi="黑体" w:eastAsia="黑体"/>
          <w:b w:val="0"/>
          <w:color w:val="auto"/>
          <w:spacing w:val="-4"/>
          <w:sz w:val="32"/>
          <w:szCs w:val="32"/>
        </w:rPr>
        <w:t>七、附表</w:t>
      </w:r>
    </w:p>
    <w:p>
      <w:pPr>
        <w:adjustRightInd w:val="0"/>
        <w:snapToGrid w:val="0"/>
        <w:spacing w:line="560" w:lineRule="exact"/>
        <w:ind w:firstLine="624" w:firstLineChars="200"/>
        <w:rPr>
          <w:rStyle w:val="19"/>
          <w:rFonts w:hint="eastAsia" w:ascii="仿宋" w:hAnsi="仿宋" w:eastAsia="仿宋"/>
          <w:b w:val="0"/>
          <w:color w:val="auto"/>
          <w:spacing w:val="-4"/>
          <w:sz w:val="32"/>
          <w:szCs w:val="32"/>
        </w:rPr>
      </w:pPr>
      <w:r>
        <w:rPr>
          <w:rStyle w:val="19"/>
          <w:rFonts w:hint="eastAsia" w:ascii="仿宋" w:hAnsi="仿宋" w:eastAsia="仿宋"/>
          <w:b w:val="0"/>
          <w:color w:val="auto"/>
          <w:spacing w:val="-4"/>
          <w:sz w:val="32"/>
          <w:szCs w:val="32"/>
        </w:rPr>
        <w:t>《项目支出绩效目标自评表》</w:t>
      </w:r>
    </w:p>
    <w:p>
      <w:pPr>
        <w:adjustRightInd w:val="0"/>
        <w:snapToGrid w:val="0"/>
        <w:spacing w:line="560" w:lineRule="exact"/>
        <w:ind w:firstLine="624" w:firstLineChars="200"/>
        <w:rPr>
          <w:rStyle w:val="19"/>
          <w:rFonts w:hint="eastAsia" w:ascii="仿宋" w:hAnsi="仿宋" w:eastAsia="仿宋"/>
          <w:b w:val="0"/>
          <w:color w:val="auto"/>
          <w:spacing w:val="-4"/>
          <w:sz w:val="32"/>
          <w:szCs w:val="32"/>
        </w:rPr>
      </w:pPr>
    </w:p>
    <w:p>
      <w:pPr>
        <w:adjustRightInd w:val="0"/>
        <w:snapToGrid w:val="0"/>
        <w:spacing w:line="560" w:lineRule="exact"/>
        <w:ind w:firstLine="624" w:firstLineChars="200"/>
        <w:rPr>
          <w:rStyle w:val="19"/>
          <w:rFonts w:hint="eastAsia" w:ascii="仿宋" w:hAnsi="仿宋" w:eastAsia="仿宋"/>
          <w:b w:val="0"/>
          <w:color w:val="auto"/>
          <w:spacing w:val="-4"/>
          <w:sz w:val="32"/>
          <w:szCs w:val="32"/>
        </w:rPr>
      </w:pPr>
    </w:p>
    <w:p>
      <w:pPr>
        <w:adjustRightInd w:val="0"/>
        <w:snapToGrid w:val="0"/>
        <w:spacing w:line="560" w:lineRule="exact"/>
        <w:ind w:firstLine="624" w:firstLineChars="200"/>
        <w:rPr>
          <w:rStyle w:val="19"/>
          <w:rFonts w:hint="eastAsia" w:ascii="仿宋" w:hAnsi="仿宋" w:eastAsia="仿宋"/>
          <w:b w:val="0"/>
          <w:color w:val="auto"/>
          <w:spacing w:val="-4"/>
          <w:sz w:val="32"/>
          <w:szCs w:val="32"/>
        </w:rPr>
      </w:pPr>
    </w:p>
    <w:p>
      <w:pPr>
        <w:adjustRightInd w:val="0"/>
        <w:snapToGrid w:val="0"/>
        <w:spacing w:line="560" w:lineRule="exact"/>
        <w:ind w:firstLine="624" w:firstLineChars="200"/>
        <w:rPr>
          <w:rStyle w:val="19"/>
          <w:rFonts w:hint="eastAsia" w:ascii="仿宋" w:hAnsi="仿宋" w:eastAsia="仿宋"/>
          <w:b w:val="0"/>
          <w:color w:val="auto"/>
          <w:spacing w:val="-4"/>
          <w:sz w:val="32"/>
          <w:szCs w:val="32"/>
        </w:rPr>
      </w:pPr>
    </w:p>
    <w:p>
      <w:pPr>
        <w:adjustRightInd w:val="0"/>
        <w:snapToGrid w:val="0"/>
        <w:spacing w:line="560" w:lineRule="exact"/>
        <w:ind w:firstLine="624" w:firstLineChars="200"/>
        <w:rPr>
          <w:rStyle w:val="19"/>
          <w:rFonts w:hint="eastAsia" w:ascii="仿宋" w:hAnsi="仿宋" w:eastAsia="仿宋"/>
          <w:b w:val="0"/>
          <w:color w:val="auto"/>
          <w:spacing w:val="-4"/>
          <w:sz w:val="32"/>
          <w:szCs w:val="32"/>
        </w:rPr>
      </w:pPr>
    </w:p>
    <w:p>
      <w:pPr>
        <w:adjustRightInd w:val="0"/>
        <w:snapToGrid w:val="0"/>
        <w:spacing w:line="560" w:lineRule="exact"/>
        <w:ind w:firstLine="624" w:firstLineChars="200"/>
        <w:rPr>
          <w:rStyle w:val="19"/>
          <w:rFonts w:hint="eastAsia" w:ascii="仿宋" w:hAnsi="仿宋" w:eastAsia="仿宋"/>
          <w:b w:val="0"/>
          <w:color w:val="auto"/>
          <w:spacing w:val="-4"/>
          <w:sz w:val="32"/>
          <w:szCs w:val="32"/>
        </w:rPr>
      </w:pPr>
    </w:p>
    <w:p>
      <w:pPr>
        <w:adjustRightInd w:val="0"/>
        <w:snapToGrid w:val="0"/>
        <w:spacing w:line="560" w:lineRule="exact"/>
        <w:ind w:firstLine="624" w:firstLineChars="200"/>
        <w:rPr>
          <w:rStyle w:val="19"/>
          <w:rFonts w:hint="eastAsia" w:ascii="仿宋" w:hAnsi="仿宋" w:eastAsia="仿宋"/>
          <w:b w:val="0"/>
          <w:color w:val="auto"/>
          <w:spacing w:val="-4"/>
          <w:sz w:val="32"/>
          <w:szCs w:val="32"/>
        </w:rPr>
      </w:pPr>
    </w:p>
    <w:p>
      <w:pPr>
        <w:adjustRightInd w:val="0"/>
        <w:snapToGrid w:val="0"/>
        <w:spacing w:line="560" w:lineRule="exact"/>
        <w:ind w:firstLine="624" w:firstLineChars="200"/>
        <w:rPr>
          <w:rStyle w:val="19"/>
          <w:rFonts w:hint="eastAsia" w:ascii="仿宋" w:hAnsi="仿宋" w:eastAsia="仿宋"/>
          <w:b w:val="0"/>
          <w:color w:val="auto"/>
          <w:spacing w:val="-4"/>
          <w:sz w:val="32"/>
          <w:szCs w:val="32"/>
        </w:rPr>
      </w:pPr>
    </w:p>
    <w:p>
      <w:pPr>
        <w:adjustRightInd w:val="0"/>
        <w:snapToGrid w:val="0"/>
        <w:spacing w:line="560" w:lineRule="exact"/>
        <w:ind w:firstLine="624" w:firstLineChars="200"/>
        <w:rPr>
          <w:rStyle w:val="19"/>
          <w:rFonts w:hint="eastAsia" w:ascii="仿宋" w:hAnsi="仿宋" w:eastAsia="仿宋"/>
          <w:b w:val="0"/>
          <w:color w:val="auto"/>
          <w:spacing w:val="-4"/>
          <w:sz w:val="32"/>
          <w:szCs w:val="32"/>
        </w:rPr>
      </w:pPr>
    </w:p>
    <w:p>
      <w:pPr>
        <w:adjustRightInd w:val="0"/>
        <w:snapToGrid w:val="0"/>
        <w:spacing w:line="560" w:lineRule="exact"/>
        <w:ind w:firstLine="624" w:firstLineChars="200"/>
        <w:rPr>
          <w:rStyle w:val="19"/>
          <w:rFonts w:hint="eastAsia" w:ascii="仿宋" w:hAnsi="仿宋" w:eastAsia="仿宋"/>
          <w:b w:val="0"/>
          <w:color w:val="auto"/>
          <w:spacing w:val="-4"/>
          <w:sz w:val="32"/>
          <w:szCs w:val="32"/>
        </w:rPr>
      </w:pPr>
      <w:bookmarkStart w:id="0" w:name="_GoBack"/>
      <w:bookmarkEnd w:id="0"/>
    </w:p>
    <w:p>
      <w:pPr>
        <w:adjustRightInd w:val="0"/>
        <w:snapToGrid w:val="0"/>
        <w:spacing w:line="560" w:lineRule="exact"/>
        <w:ind w:firstLine="640" w:firstLineChars="200"/>
        <w:rPr>
          <w:rFonts w:ascii="仿宋" w:hAnsi="仿宋" w:eastAsia="仿宋"/>
          <w:color w:val="auto"/>
          <w:sz w:val="32"/>
          <w:szCs w:val="32"/>
        </w:rPr>
      </w:pPr>
      <w:r>
        <w:rPr>
          <w:rFonts w:hint="eastAsia" w:ascii="仿宋" w:hAnsi="仿宋" w:eastAsia="仿宋"/>
          <w:color w:val="auto"/>
          <w:sz w:val="32"/>
          <w:szCs w:val="32"/>
        </w:rPr>
        <w:t>附表填制说明（2018年12月18日）</w:t>
      </w:r>
    </w:p>
    <w:p>
      <w:pPr>
        <w:adjustRightInd w:val="0"/>
        <w:snapToGrid w:val="0"/>
        <w:spacing w:line="560" w:lineRule="exact"/>
        <w:ind w:firstLine="640" w:firstLineChars="200"/>
        <w:rPr>
          <w:bCs/>
          <w:color w:val="auto"/>
          <w:sz w:val="32"/>
          <w:szCs w:val="32"/>
        </w:rPr>
      </w:pPr>
      <w:r>
        <w:rPr>
          <w:rFonts w:hint="eastAsia"/>
          <w:bCs/>
          <w:color w:val="auto"/>
          <w:sz w:val="32"/>
          <w:szCs w:val="32"/>
        </w:rPr>
        <w:t>1.项目名称填制要求必须带有“项目”字样，《新疆财政支出绩效自评报告》《部门预算项目支出绩效目标申报表》《项目支出绩效目标自评表》的项目名称须保持完全一致。</w:t>
      </w:r>
    </w:p>
    <w:p>
      <w:pPr>
        <w:adjustRightInd w:val="0"/>
        <w:snapToGrid w:val="0"/>
        <w:spacing w:line="560" w:lineRule="exact"/>
        <w:ind w:firstLine="640" w:firstLineChars="200"/>
        <w:rPr>
          <w:bCs/>
          <w:color w:val="auto"/>
          <w:sz w:val="32"/>
          <w:szCs w:val="32"/>
        </w:rPr>
      </w:pPr>
      <w:r>
        <w:rPr>
          <w:rFonts w:hint="eastAsia"/>
          <w:bCs/>
          <w:color w:val="auto"/>
          <w:sz w:val="32"/>
          <w:szCs w:val="32"/>
        </w:rPr>
        <w:t>2.根据《部门预算项目支出绩效目标申报表》和《项目支出绩效目标自评表》中的字体要求填写（宋体12号字），不得随意调整。</w:t>
      </w:r>
    </w:p>
    <w:p>
      <w:pPr>
        <w:adjustRightInd w:val="0"/>
        <w:snapToGrid w:val="0"/>
        <w:spacing w:line="560" w:lineRule="exact"/>
        <w:ind w:firstLine="640" w:firstLineChars="200"/>
        <w:rPr>
          <w:bCs/>
          <w:color w:val="auto"/>
          <w:sz w:val="32"/>
          <w:szCs w:val="32"/>
        </w:rPr>
      </w:pPr>
      <w:r>
        <w:rPr>
          <w:rFonts w:hint="eastAsia"/>
          <w:bCs/>
          <w:color w:val="auto"/>
          <w:sz w:val="32"/>
          <w:szCs w:val="32"/>
        </w:rPr>
        <w:t>3.要求打印出的表格不能存在遮盖的文字，表格填制完毕后通过打印预览查看是否存在文字遮盖的情况，如存在需调整表格行高，保证文字全部显现。</w:t>
      </w:r>
    </w:p>
    <w:p>
      <w:pPr>
        <w:adjustRightInd w:val="0"/>
        <w:snapToGrid w:val="0"/>
        <w:spacing w:line="560" w:lineRule="exact"/>
        <w:ind w:firstLine="640" w:firstLineChars="200"/>
        <w:rPr>
          <w:bCs/>
          <w:color w:val="auto"/>
          <w:sz w:val="32"/>
          <w:szCs w:val="32"/>
        </w:rPr>
      </w:pPr>
      <w:r>
        <w:rPr>
          <w:rFonts w:hint="eastAsia"/>
          <w:bCs/>
          <w:color w:val="auto"/>
          <w:sz w:val="32"/>
          <w:szCs w:val="32"/>
        </w:rPr>
        <w:t>4.要求填制表格中具体指标的数值全部居中，表格其他内容按格式填写，不得自行调整。</w:t>
      </w:r>
    </w:p>
    <w:p>
      <w:pPr>
        <w:adjustRightInd w:val="0"/>
        <w:snapToGrid w:val="0"/>
        <w:spacing w:line="560" w:lineRule="exact"/>
        <w:ind w:firstLine="640" w:firstLineChars="200"/>
        <w:rPr>
          <w:rFonts w:hint="eastAsia"/>
          <w:bCs/>
          <w:color w:val="auto"/>
          <w:sz w:val="32"/>
          <w:szCs w:val="32"/>
        </w:rPr>
      </w:pPr>
      <w:r>
        <w:rPr>
          <w:rFonts w:hint="eastAsia"/>
          <w:bCs/>
          <w:color w:val="auto"/>
          <w:sz w:val="32"/>
          <w:szCs w:val="32"/>
        </w:rPr>
        <w:t>5.三级指标名称全部左对齐。</w:t>
      </w:r>
    </w:p>
    <w:p>
      <w:pPr>
        <w:adjustRightInd w:val="0"/>
        <w:snapToGrid w:val="0"/>
        <w:spacing w:line="560" w:lineRule="exact"/>
        <w:ind w:firstLine="640" w:firstLineChars="200"/>
        <w:rPr>
          <w:rFonts w:hint="eastAsia" w:ascii="仿宋" w:hAnsi="仿宋" w:eastAsia="仿宋"/>
          <w:color w:val="auto"/>
          <w:sz w:val="32"/>
          <w:szCs w:val="32"/>
        </w:rPr>
      </w:pPr>
      <w:r>
        <w:rPr>
          <w:rFonts w:hint="eastAsia" w:ascii="仿宋" w:hAnsi="仿宋" w:eastAsia="仿宋"/>
          <w:color w:val="auto"/>
          <w:sz w:val="32"/>
          <w:szCs w:val="32"/>
        </w:rPr>
        <w:t>6.</w:t>
      </w:r>
      <w:r>
        <w:rPr>
          <w:rFonts w:hint="eastAsia"/>
          <w:bCs/>
          <w:color w:val="auto"/>
          <w:sz w:val="32"/>
          <w:szCs w:val="32"/>
        </w:rPr>
        <w:t>《部门预算项目支出绩效目标申报表》和《项目支出绩效目标自评表》</w:t>
      </w:r>
      <w:r>
        <w:rPr>
          <w:rFonts w:hint="eastAsia" w:ascii="仿宋" w:hAnsi="仿宋" w:eastAsia="仿宋"/>
          <w:color w:val="auto"/>
          <w:sz w:val="32"/>
          <w:szCs w:val="32"/>
        </w:rPr>
        <w:t>表格格式及内容必须严格按照附件填写，不可随意删除内容，包括表格下方的经办人、单位负责人、申报时间、联系电话等。</w:t>
      </w:r>
    </w:p>
    <w:p>
      <w:pPr>
        <w:adjustRightInd w:val="0"/>
        <w:snapToGrid w:val="0"/>
        <w:spacing w:line="560" w:lineRule="exact"/>
        <w:ind w:firstLine="640" w:firstLineChars="200"/>
        <w:rPr>
          <w:rFonts w:hint="eastAsia" w:ascii="仿宋" w:hAnsi="仿宋" w:eastAsia="仿宋"/>
          <w:color w:val="auto"/>
          <w:sz w:val="32"/>
          <w:szCs w:val="32"/>
        </w:rPr>
      </w:pPr>
      <w:r>
        <w:rPr>
          <w:rFonts w:hint="eastAsia" w:ascii="仿宋" w:hAnsi="仿宋" w:eastAsia="仿宋"/>
          <w:color w:val="auto"/>
          <w:sz w:val="32"/>
          <w:szCs w:val="32"/>
        </w:rPr>
        <w:t>7.</w:t>
      </w:r>
      <w:r>
        <w:rPr>
          <w:rFonts w:hint="eastAsia"/>
          <w:bCs/>
          <w:color w:val="auto"/>
          <w:sz w:val="32"/>
          <w:szCs w:val="32"/>
        </w:rPr>
        <w:t xml:space="preserve"> 《部门预算项目支出绩效目标申报表》中的</w:t>
      </w:r>
      <w:r>
        <w:rPr>
          <w:rFonts w:hint="eastAsia" w:ascii="仿宋" w:hAnsi="仿宋" w:eastAsia="仿宋"/>
          <w:color w:val="auto"/>
          <w:sz w:val="32"/>
          <w:szCs w:val="32"/>
        </w:rPr>
        <w:t>总体目标和《</w:t>
      </w:r>
      <w:r>
        <w:rPr>
          <w:rFonts w:hint="eastAsia"/>
          <w:bCs/>
          <w:color w:val="auto"/>
          <w:sz w:val="32"/>
          <w:szCs w:val="32"/>
        </w:rPr>
        <w:t>项目支出绩效目标自评表》</w:t>
      </w:r>
      <w:r>
        <w:rPr>
          <w:rFonts w:hint="eastAsia" w:ascii="仿宋" w:hAnsi="仿宋" w:eastAsia="仿宋"/>
          <w:color w:val="auto"/>
          <w:sz w:val="32"/>
          <w:szCs w:val="32"/>
        </w:rPr>
        <w:t>中的预期目标和实际完成目标必须分项罗列，且包含所有设置的三级指标。</w:t>
      </w:r>
    </w:p>
    <w:p>
      <w:pPr>
        <w:adjustRightInd w:val="0"/>
        <w:snapToGrid w:val="0"/>
        <w:spacing w:line="560" w:lineRule="exact"/>
        <w:ind w:firstLine="640" w:firstLineChars="200"/>
        <w:rPr>
          <w:rFonts w:hint="eastAsia" w:ascii="仿宋" w:hAnsi="仿宋" w:eastAsia="仿宋"/>
          <w:color w:val="auto"/>
          <w:sz w:val="32"/>
          <w:szCs w:val="32"/>
        </w:rPr>
      </w:pPr>
      <w:r>
        <w:rPr>
          <w:rFonts w:hint="eastAsia" w:ascii="仿宋" w:hAnsi="仿宋" w:eastAsia="仿宋"/>
          <w:color w:val="auto"/>
          <w:sz w:val="32"/>
          <w:szCs w:val="32"/>
        </w:rPr>
        <w:t>8.部门预算项目支出绩效目标表与项目支出绩效目标自评表中的指标内容和排列顺序必须完全一致。</w:t>
      </w:r>
    </w:p>
    <w:p>
      <w:pPr>
        <w:adjustRightInd w:val="0"/>
        <w:snapToGrid w:val="0"/>
        <w:spacing w:line="560" w:lineRule="exact"/>
        <w:ind w:firstLine="640" w:firstLineChars="200"/>
        <w:rPr>
          <w:rFonts w:hint="eastAsia" w:ascii="仿宋" w:hAnsi="仿宋" w:eastAsia="仿宋"/>
          <w:color w:val="auto"/>
          <w:sz w:val="32"/>
          <w:szCs w:val="32"/>
        </w:rPr>
      </w:pPr>
      <w:r>
        <w:rPr>
          <w:rFonts w:hint="eastAsia" w:ascii="仿宋" w:hAnsi="仿宋" w:eastAsia="仿宋"/>
          <w:color w:val="auto"/>
          <w:sz w:val="32"/>
          <w:szCs w:val="32"/>
        </w:rPr>
        <w:t>9.设置指标值和实际完成值时，不可填列区间数，例如：办理案件数量23-25件。符号必须准确表述：&gt;、&lt;、=、≥≤。</w:t>
      </w:r>
    </w:p>
    <w:p>
      <w:pPr>
        <w:adjustRightInd w:val="0"/>
        <w:snapToGrid w:val="0"/>
        <w:spacing w:line="560" w:lineRule="exact"/>
        <w:ind w:firstLine="640" w:firstLineChars="200"/>
        <w:rPr>
          <w:rStyle w:val="19"/>
          <w:rFonts w:ascii="仿宋" w:hAnsi="仿宋" w:eastAsia="仿宋"/>
          <w:color w:val="auto"/>
          <w:spacing w:val="-4"/>
          <w:sz w:val="32"/>
          <w:szCs w:val="32"/>
        </w:rPr>
      </w:pPr>
      <w:r>
        <w:rPr>
          <w:rFonts w:hint="eastAsia" w:ascii="仿宋" w:hAnsi="仿宋" w:eastAsia="仿宋"/>
          <w:color w:val="auto"/>
          <w:sz w:val="32"/>
          <w:szCs w:val="32"/>
        </w:rPr>
        <w:t>10. 部门预算项目支出绩效目标表的申报时间统一为2017年12月10日-2017年12月30日，项目支出绩效目标自</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0C2FF0"/>
    <w:multiLevelType w:val="singleLevel"/>
    <w:tmpl w:val="E90C2FF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52E209E3"/>
    <w:rsid w:val="7EAC03F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7"/>
    <w:semiHidden/>
    <w:unhideWhenUsed/>
    <w:qFormat/>
    <w:uiPriority w:val="99"/>
    <w:rPr>
      <w:rFonts w:ascii="宋体"/>
      <w:sz w:val="18"/>
      <w:szCs w:val="18"/>
    </w:rPr>
  </w:style>
  <w:style w:type="paragraph" w:styleId="12">
    <w:name w:val="Balloon Text"/>
    <w:basedOn w:val="1"/>
    <w:link w:val="48"/>
    <w:semiHidden/>
    <w:unhideWhenUsed/>
    <w:qFormat/>
    <w:uiPriority w:val="99"/>
    <w:rPr>
      <w:sz w:val="18"/>
      <w:szCs w:val="18"/>
    </w:rPr>
  </w:style>
  <w:style w:type="paragraph" w:styleId="13">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5"/>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6">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2">
    <w:name w:val="标题 1 Char"/>
    <w:basedOn w:val="18"/>
    <w:link w:val="2"/>
    <w:qFormat/>
    <w:uiPriority w:val="9"/>
    <w:rPr>
      <w:rFonts w:asciiTheme="majorHAnsi" w:hAnsiTheme="majorHAnsi" w:eastAsiaTheme="majorEastAsia"/>
      <w:b/>
      <w:bCs/>
      <w:kern w:val="32"/>
      <w:sz w:val="32"/>
      <w:szCs w:val="32"/>
    </w:rPr>
  </w:style>
  <w:style w:type="character" w:customStyle="1" w:styleId="23">
    <w:name w:val="标题 2 Char"/>
    <w:basedOn w:val="18"/>
    <w:link w:val="3"/>
    <w:semiHidden/>
    <w:qFormat/>
    <w:uiPriority w:val="9"/>
    <w:rPr>
      <w:rFonts w:asciiTheme="majorHAnsi" w:hAnsiTheme="majorHAnsi" w:eastAsiaTheme="majorEastAsia"/>
      <w:b/>
      <w:bCs/>
      <w:i/>
      <w:iCs/>
      <w:sz w:val="28"/>
      <w:szCs w:val="28"/>
    </w:rPr>
  </w:style>
  <w:style w:type="character" w:customStyle="1" w:styleId="24">
    <w:name w:val="标题 3 Char"/>
    <w:basedOn w:val="18"/>
    <w:link w:val="4"/>
    <w:semiHidden/>
    <w:qFormat/>
    <w:uiPriority w:val="9"/>
    <w:rPr>
      <w:rFonts w:asciiTheme="majorHAnsi" w:hAnsiTheme="majorHAnsi" w:eastAsiaTheme="majorEastAsia"/>
      <w:b/>
      <w:bCs/>
      <w:sz w:val="26"/>
      <w:szCs w:val="26"/>
    </w:rPr>
  </w:style>
  <w:style w:type="character" w:customStyle="1" w:styleId="25">
    <w:name w:val="标题 4 Char"/>
    <w:basedOn w:val="18"/>
    <w:link w:val="5"/>
    <w:semiHidden/>
    <w:qFormat/>
    <w:uiPriority w:val="9"/>
    <w:rPr>
      <w:b/>
      <w:bCs/>
      <w:sz w:val="28"/>
      <w:szCs w:val="28"/>
    </w:rPr>
  </w:style>
  <w:style w:type="character" w:customStyle="1" w:styleId="26">
    <w:name w:val="标题 5 Char"/>
    <w:basedOn w:val="18"/>
    <w:link w:val="6"/>
    <w:semiHidden/>
    <w:qFormat/>
    <w:uiPriority w:val="9"/>
    <w:rPr>
      <w:b/>
      <w:bCs/>
      <w:i/>
      <w:iCs/>
      <w:sz w:val="26"/>
      <w:szCs w:val="26"/>
    </w:rPr>
  </w:style>
  <w:style w:type="character" w:customStyle="1" w:styleId="27">
    <w:name w:val="标题 6 Char"/>
    <w:basedOn w:val="18"/>
    <w:link w:val="7"/>
    <w:semiHidden/>
    <w:qFormat/>
    <w:uiPriority w:val="9"/>
    <w:rPr>
      <w:b/>
      <w:bCs/>
    </w:rPr>
  </w:style>
  <w:style w:type="character" w:customStyle="1" w:styleId="28">
    <w:name w:val="标题 7 Char"/>
    <w:basedOn w:val="18"/>
    <w:link w:val="8"/>
    <w:semiHidden/>
    <w:qFormat/>
    <w:uiPriority w:val="9"/>
    <w:rPr>
      <w:sz w:val="24"/>
      <w:szCs w:val="24"/>
    </w:rPr>
  </w:style>
  <w:style w:type="character" w:customStyle="1" w:styleId="29">
    <w:name w:val="标题 8 Char"/>
    <w:basedOn w:val="18"/>
    <w:link w:val="9"/>
    <w:semiHidden/>
    <w:qFormat/>
    <w:uiPriority w:val="9"/>
    <w:rPr>
      <w:i/>
      <w:iCs/>
      <w:sz w:val="24"/>
      <w:szCs w:val="24"/>
    </w:rPr>
  </w:style>
  <w:style w:type="character" w:customStyle="1" w:styleId="30">
    <w:name w:val="标题 9 Char"/>
    <w:basedOn w:val="18"/>
    <w:link w:val="10"/>
    <w:semiHidden/>
    <w:qFormat/>
    <w:uiPriority w:val="9"/>
    <w:rPr>
      <w:rFonts w:asciiTheme="majorHAnsi" w:hAnsiTheme="majorHAnsi" w:eastAsiaTheme="majorEastAsia"/>
    </w:rPr>
  </w:style>
  <w:style w:type="character" w:customStyle="1" w:styleId="31">
    <w:name w:val="标题 Char"/>
    <w:basedOn w:val="18"/>
    <w:link w:val="17"/>
    <w:qFormat/>
    <w:uiPriority w:val="10"/>
    <w:rPr>
      <w:rFonts w:asciiTheme="majorHAnsi" w:hAnsiTheme="majorHAnsi" w:eastAsiaTheme="majorEastAsia"/>
      <w:b/>
      <w:bCs/>
      <w:kern w:val="28"/>
      <w:sz w:val="32"/>
      <w:szCs w:val="32"/>
    </w:rPr>
  </w:style>
  <w:style w:type="character" w:customStyle="1" w:styleId="32">
    <w:name w:val="副标题 Char"/>
    <w:basedOn w:val="18"/>
    <w:link w:val="15"/>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8"/>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8"/>
    <w:link w:val="37"/>
    <w:qFormat/>
    <w:uiPriority w:val="30"/>
    <w:rPr>
      <w:b/>
      <w:i/>
      <w:sz w:val="24"/>
    </w:rPr>
  </w:style>
  <w:style w:type="character" w:customStyle="1" w:styleId="39">
    <w:name w:val="Subtle Emphasis"/>
    <w:qFormat/>
    <w:uiPriority w:val="19"/>
    <w:rPr>
      <w:i/>
      <w:color w:val="595959" w:themeColor="text1" w:themeTint="A5"/>
    </w:rPr>
  </w:style>
  <w:style w:type="character" w:customStyle="1" w:styleId="40">
    <w:name w:val="Intense Emphasis"/>
    <w:basedOn w:val="18"/>
    <w:qFormat/>
    <w:uiPriority w:val="21"/>
    <w:rPr>
      <w:b/>
      <w:i/>
      <w:sz w:val="24"/>
      <w:szCs w:val="24"/>
      <w:u w:val="single"/>
    </w:rPr>
  </w:style>
  <w:style w:type="character" w:customStyle="1" w:styleId="41">
    <w:name w:val="Subtle Reference"/>
    <w:basedOn w:val="18"/>
    <w:qFormat/>
    <w:uiPriority w:val="31"/>
    <w:rPr>
      <w:sz w:val="24"/>
      <w:szCs w:val="24"/>
      <w:u w:val="single"/>
    </w:rPr>
  </w:style>
  <w:style w:type="character" w:customStyle="1" w:styleId="42">
    <w:name w:val="Intense Reference"/>
    <w:basedOn w:val="18"/>
    <w:qFormat/>
    <w:uiPriority w:val="32"/>
    <w:rPr>
      <w:b/>
      <w:sz w:val="24"/>
      <w:u w:val="single"/>
    </w:rPr>
  </w:style>
  <w:style w:type="character" w:customStyle="1" w:styleId="43">
    <w:name w:val="Book Title"/>
    <w:basedOn w:val="18"/>
    <w:qFormat/>
    <w:uiPriority w:val="33"/>
    <w:rPr>
      <w:rFonts w:asciiTheme="majorHAnsi" w:hAnsiTheme="majorHAnsi" w:eastAsiaTheme="majorEastAsia"/>
      <w:b/>
      <w:i/>
      <w:sz w:val="24"/>
      <w:szCs w:val="24"/>
    </w:rPr>
  </w:style>
  <w:style w:type="paragraph" w:customStyle="1" w:styleId="44">
    <w:name w:val="TOC Heading"/>
    <w:basedOn w:val="2"/>
    <w:next w:val="1"/>
    <w:semiHidden/>
    <w:unhideWhenUsed/>
    <w:qFormat/>
    <w:uiPriority w:val="39"/>
    <w:pPr>
      <w:outlineLvl w:val="9"/>
    </w:pPr>
    <w:rPr>
      <w:lang w:eastAsia="en-US" w:bidi="en-US"/>
    </w:rPr>
  </w:style>
  <w:style w:type="character" w:customStyle="1" w:styleId="45">
    <w:name w:val="页眉 Char"/>
    <w:basedOn w:val="18"/>
    <w:link w:val="14"/>
    <w:qFormat/>
    <w:uiPriority w:val="99"/>
    <w:rPr>
      <w:rFonts w:ascii="Calibri" w:hAnsi="Calibri" w:eastAsia="宋体"/>
      <w:kern w:val="2"/>
      <w:sz w:val="18"/>
      <w:szCs w:val="18"/>
    </w:rPr>
  </w:style>
  <w:style w:type="character" w:customStyle="1" w:styleId="46">
    <w:name w:val="页脚 Char"/>
    <w:basedOn w:val="18"/>
    <w:link w:val="13"/>
    <w:uiPriority w:val="99"/>
    <w:rPr>
      <w:rFonts w:ascii="Calibri" w:hAnsi="Calibri" w:eastAsia="宋体"/>
      <w:kern w:val="2"/>
      <w:sz w:val="18"/>
      <w:szCs w:val="18"/>
    </w:rPr>
  </w:style>
  <w:style w:type="character" w:customStyle="1" w:styleId="47">
    <w:name w:val="文档结构图 Char"/>
    <w:basedOn w:val="18"/>
    <w:link w:val="11"/>
    <w:semiHidden/>
    <w:qFormat/>
    <w:uiPriority w:val="99"/>
    <w:rPr>
      <w:rFonts w:ascii="宋体" w:hAnsi="Times New Roman" w:eastAsia="宋体"/>
      <w:kern w:val="2"/>
      <w:sz w:val="18"/>
      <w:szCs w:val="18"/>
    </w:rPr>
  </w:style>
  <w:style w:type="character" w:customStyle="1" w:styleId="48">
    <w:name w:val="批注框文本 Char"/>
    <w:basedOn w:val="18"/>
    <w:link w:val="12"/>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21</TotalTime>
  <ScaleCrop>false</ScaleCrop>
  <LinksUpToDate>false</LinksUpToDate>
  <CharactersWithSpaces>2449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海粟</cp:lastModifiedBy>
  <cp:lastPrinted>2018-12-17T10:15:00Z</cp:lastPrinted>
  <dcterms:modified xsi:type="dcterms:W3CDTF">2019-01-30T05:18:36Z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